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66A" w:rsidRDefault="006C5A0E" w:rsidP="0005766A">
      <w:pPr>
        <w:spacing w:line="480" w:lineRule="auto"/>
        <w:jc w:val="center"/>
        <w:rPr>
          <w:rFonts w:asciiTheme="minorEastAsia" w:hAnsiTheme="minorEastAsia"/>
          <w:b/>
          <w:sz w:val="36"/>
          <w:szCs w:val="36"/>
        </w:rPr>
      </w:pPr>
      <w:r>
        <w:rPr>
          <w:rFonts w:asciiTheme="minorEastAsia" w:hAnsiTheme="minorEastAsia" w:hint="eastAsia"/>
          <w:sz w:val="24"/>
          <w:szCs w:val="24"/>
        </w:rPr>
        <w:t xml:space="preserve">   </w:t>
      </w:r>
    </w:p>
    <w:p w:rsidR="00F817AF" w:rsidRDefault="0005766A" w:rsidP="0005766A">
      <w:pPr>
        <w:spacing w:line="640" w:lineRule="exact"/>
        <w:jc w:val="center"/>
        <w:rPr>
          <w:rFonts w:hint="eastAsia"/>
          <w:b/>
          <w:bCs/>
          <w:sz w:val="48"/>
          <w:szCs w:val="48"/>
        </w:rPr>
      </w:pPr>
      <w:r>
        <w:rPr>
          <w:rFonts w:hint="eastAsia"/>
          <w:b/>
          <w:bCs/>
          <w:sz w:val="48"/>
          <w:szCs w:val="48"/>
        </w:rPr>
        <w:t>龙岩市市场监督管理局流通领域消防</w:t>
      </w:r>
    </w:p>
    <w:p w:rsidR="0005766A" w:rsidRDefault="0005766A" w:rsidP="0005766A">
      <w:pPr>
        <w:spacing w:line="640" w:lineRule="exact"/>
        <w:jc w:val="center"/>
        <w:rPr>
          <w:b/>
          <w:bCs/>
          <w:sz w:val="48"/>
          <w:szCs w:val="48"/>
        </w:rPr>
      </w:pPr>
      <w:r>
        <w:rPr>
          <w:rFonts w:hint="eastAsia"/>
          <w:b/>
          <w:bCs/>
          <w:sz w:val="48"/>
          <w:szCs w:val="48"/>
        </w:rPr>
        <w:t>产品质量抽查检验分析报告</w:t>
      </w:r>
    </w:p>
    <w:p w:rsidR="00546E16" w:rsidRDefault="00546E16">
      <w:pPr>
        <w:spacing w:line="480" w:lineRule="auto"/>
        <w:rPr>
          <w:rFonts w:asciiTheme="minorEastAsia" w:hAnsiTheme="minorEastAsia"/>
          <w:b/>
          <w:sz w:val="24"/>
          <w:szCs w:val="24"/>
        </w:rPr>
      </w:pPr>
    </w:p>
    <w:p w:rsidR="00546E16" w:rsidRDefault="006C5A0E">
      <w:pPr>
        <w:snapToGrid w:val="0"/>
        <w:spacing w:line="360" w:lineRule="auto"/>
        <w:jc w:val="left"/>
        <w:rPr>
          <w:rFonts w:asciiTheme="minorEastAsia" w:hAnsiTheme="minorEastAsia"/>
          <w:sz w:val="24"/>
          <w:szCs w:val="24"/>
        </w:rPr>
      </w:pPr>
      <w:r>
        <w:rPr>
          <w:rFonts w:asciiTheme="minorEastAsia" w:hAnsiTheme="minorEastAsia" w:hint="eastAsia"/>
          <w:sz w:val="24"/>
          <w:szCs w:val="24"/>
        </w:rPr>
        <w:t xml:space="preserve">    龙岩市市场监督管理局委托山东腾翔产品质量有限公司于2020年第4季度对全市流通领域的</w:t>
      </w:r>
      <w:r>
        <w:rPr>
          <w:rFonts w:ascii="宋体" w:eastAsia="宋体" w:hAnsi="宋体" w:cs="Times New Roman" w:hint="eastAsia"/>
          <w:spacing w:val="4"/>
          <w:sz w:val="24"/>
          <w:szCs w:val="24"/>
        </w:rPr>
        <w:t>消防器材</w:t>
      </w:r>
      <w:r>
        <w:rPr>
          <w:rFonts w:asciiTheme="minorEastAsia" w:hAnsiTheme="minorEastAsia" w:hint="eastAsia"/>
          <w:sz w:val="24"/>
          <w:szCs w:val="24"/>
        </w:rPr>
        <w:t>商品进行了抽查检验，现将抽查检验结果质量分析报告如下：</w:t>
      </w:r>
    </w:p>
    <w:p w:rsidR="00546E16" w:rsidRDefault="006C5A0E">
      <w:pPr>
        <w:snapToGrid w:val="0"/>
        <w:spacing w:line="160" w:lineRule="atLeast"/>
        <w:rPr>
          <w:rFonts w:asciiTheme="minorEastAsia" w:hAnsiTheme="minorEastAsia"/>
          <w:b/>
          <w:bCs/>
          <w:sz w:val="28"/>
          <w:szCs w:val="28"/>
        </w:rPr>
      </w:pPr>
      <w:r>
        <w:rPr>
          <w:rFonts w:asciiTheme="minorEastAsia" w:hAnsiTheme="minorEastAsia" w:hint="eastAsia"/>
          <w:b/>
          <w:bCs/>
          <w:sz w:val="28"/>
          <w:szCs w:val="28"/>
        </w:rPr>
        <w:t>一、抽检样品的基本情况</w:t>
      </w:r>
    </w:p>
    <w:p w:rsidR="00546E16" w:rsidRDefault="006C5A0E" w:rsidP="00583329">
      <w:pPr>
        <w:pStyle w:val="1"/>
        <w:spacing w:line="360" w:lineRule="auto"/>
        <w:ind w:firstLine="480"/>
        <w:rPr>
          <w:rFonts w:asciiTheme="minorEastAsia" w:hAnsiTheme="minorEastAsia"/>
          <w:sz w:val="24"/>
          <w:szCs w:val="24"/>
        </w:rPr>
      </w:pPr>
      <w:proofErr w:type="gramStart"/>
      <w:r>
        <w:rPr>
          <w:rFonts w:asciiTheme="minorEastAsia" w:hAnsiTheme="minorEastAsia" w:hint="eastAsia"/>
          <w:sz w:val="24"/>
          <w:szCs w:val="24"/>
        </w:rPr>
        <w:t>此次商品</w:t>
      </w:r>
      <w:proofErr w:type="gramEnd"/>
      <w:r>
        <w:rPr>
          <w:rFonts w:asciiTheme="minorEastAsia" w:hAnsiTheme="minorEastAsia" w:hint="eastAsia"/>
          <w:sz w:val="24"/>
          <w:szCs w:val="24"/>
        </w:rPr>
        <w:t>抽查区域为龙岩市。抽查方式为随机抽样。</w:t>
      </w:r>
    </w:p>
    <w:p w:rsidR="00546E16" w:rsidRDefault="006C5A0E">
      <w:pPr>
        <w:pStyle w:val="1"/>
        <w:spacing w:line="360" w:lineRule="auto"/>
        <w:ind w:firstLineChars="100" w:firstLine="249"/>
        <w:rPr>
          <w:rFonts w:asciiTheme="majorEastAsia" w:eastAsiaTheme="majorEastAsia" w:hAnsiTheme="majorEastAsia" w:cstheme="majorEastAsia"/>
          <w:b/>
          <w:bCs/>
          <w:spacing w:val="4"/>
          <w:sz w:val="24"/>
          <w:szCs w:val="24"/>
        </w:rPr>
      </w:pPr>
      <w:r>
        <w:rPr>
          <w:rFonts w:asciiTheme="majorEastAsia" w:eastAsiaTheme="majorEastAsia" w:hAnsiTheme="majorEastAsia" w:cstheme="majorEastAsia" w:hint="eastAsia"/>
          <w:b/>
          <w:bCs/>
          <w:spacing w:val="4"/>
          <w:sz w:val="24"/>
          <w:szCs w:val="24"/>
        </w:rPr>
        <w:t>（1）商户抽查批次情况</w:t>
      </w:r>
    </w:p>
    <w:p w:rsidR="00546E16" w:rsidRDefault="006C5A0E">
      <w:pPr>
        <w:pStyle w:val="1"/>
        <w:spacing w:line="360" w:lineRule="auto"/>
        <w:ind w:leftChars="100" w:left="210" w:firstLine="480"/>
        <w:rPr>
          <w:rFonts w:asciiTheme="minorEastAsia" w:hAnsiTheme="minorEastAsia"/>
          <w:b/>
          <w:sz w:val="28"/>
          <w:szCs w:val="28"/>
        </w:rPr>
      </w:pPr>
      <w:r>
        <w:rPr>
          <w:rFonts w:ascii="宋体" w:hAnsi="宋体" w:hint="eastAsia"/>
          <w:sz w:val="24"/>
          <w:szCs w:val="24"/>
        </w:rPr>
        <w:t>此次样品抽查共涉及9家商户30个批次，具体抽查结果见表1和图1、图2。</w:t>
      </w:r>
    </w:p>
    <w:p w:rsidR="00546E16" w:rsidRDefault="006C5A0E">
      <w:pPr>
        <w:pStyle w:val="1"/>
        <w:spacing w:line="360" w:lineRule="auto"/>
        <w:ind w:firstLineChars="0" w:firstLine="0"/>
        <w:jc w:val="center"/>
        <w:rPr>
          <w:rFonts w:asciiTheme="minorEastAsia" w:hAnsiTheme="minorEastAsia"/>
          <w:b/>
          <w:sz w:val="28"/>
          <w:szCs w:val="28"/>
        </w:rPr>
      </w:pPr>
      <w:r>
        <w:rPr>
          <w:rFonts w:asciiTheme="minorEastAsia" w:hAnsiTheme="minorEastAsia" w:hint="eastAsia"/>
          <w:b/>
          <w:sz w:val="28"/>
          <w:szCs w:val="28"/>
        </w:rPr>
        <w:t>表1商户抽查批次结果</w:t>
      </w:r>
    </w:p>
    <w:tbl>
      <w:tblPr>
        <w:tblStyle w:val="3-5"/>
        <w:tblW w:w="9200" w:type="dxa"/>
        <w:jc w:val="center"/>
        <w:tblInd w:w="-47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ayout w:type="fixed"/>
        <w:tblLook w:val="04A0"/>
      </w:tblPr>
      <w:tblGrid>
        <w:gridCol w:w="3790"/>
        <w:gridCol w:w="1395"/>
        <w:gridCol w:w="2001"/>
        <w:gridCol w:w="2014"/>
      </w:tblGrid>
      <w:tr w:rsidR="00546E16" w:rsidTr="00546E16">
        <w:trPr>
          <w:cnfStyle w:val="100000000000"/>
          <w:trHeight w:val="624"/>
          <w:jc w:val="center"/>
        </w:trPr>
        <w:tc>
          <w:tcPr>
            <w:cnfStyle w:val="001000000000"/>
            <w:tcW w:w="3790" w:type="dxa"/>
            <w:tcBorders>
              <w:top w:val="single" w:sz="4" w:space="0" w:color="auto"/>
              <w:left w:val="single" w:sz="4" w:space="0" w:color="auto"/>
              <w:bottom w:val="nil"/>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color w:val="auto"/>
                <w:sz w:val="24"/>
                <w:szCs w:val="24"/>
              </w:rPr>
              <w:t>抽查商户</w:t>
            </w:r>
          </w:p>
        </w:tc>
        <w:tc>
          <w:tcPr>
            <w:tcW w:w="1395" w:type="dxa"/>
            <w:tcBorders>
              <w:top w:val="single" w:sz="4" w:space="0" w:color="auto"/>
              <w:left w:val="single" w:sz="4" w:space="0" w:color="auto"/>
              <w:bottom w:val="single" w:sz="4" w:space="0" w:color="auto"/>
            </w:tcBorders>
            <w:shd w:val="clear" w:color="auto" w:fill="FFFFFF" w:themeFill="background1"/>
            <w:vAlign w:val="center"/>
          </w:tcPr>
          <w:p w:rsidR="00546E16" w:rsidRDefault="006C5A0E">
            <w:pPr>
              <w:spacing w:line="312" w:lineRule="auto"/>
              <w:jc w:val="center"/>
              <w:cnfStyle w:val="100000000000"/>
              <w:rPr>
                <w:rFonts w:ascii="Times New Roman" w:eastAsia="宋体" w:hAnsi="Times New Roman" w:cs="Times New Roman"/>
                <w:b w:val="0"/>
                <w:bCs w:val="0"/>
                <w:sz w:val="24"/>
                <w:szCs w:val="24"/>
              </w:rPr>
            </w:pPr>
            <w:r>
              <w:rPr>
                <w:rFonts w:ascii="Times New Roman" w:eastAsia="宋体" w:hAnsi="Times New Roman" w:cs="Times New Roman"/>
                <w:color w:val="auto"/>
                <w:sz w:val="24"/>
                <w:szCs w:val="24"/>
              </w:rPr>
              <w:t>抽查批次</w:t>
            </w:r>
          </w:p>
        </w:tc>
        <w:tc>
          <w:tcPr>
            <w:tcW w:w="2001" w:type="dxa"/>
            <w:tcBorders>
              <w:top w:val="single" w:sz="4" w:space="0" w:color="auto"/>
              <w:left w:val="single" w:sz="4" w:space="0" w:color="auto"/>
              <w:bottom w:val="single" w:sz="4" w:space="0" w:color="auto"/>
            </w:tcBorders>
            <w:shd w:val="clear" w:color="auto" w:fill="FFFFFF" w:themeFill="background1"/>
            <w:vAlign w:val="center"/>
          </w:tcPr>
          <w:p w:rsidR="00546E16" w:rsidRDefault="006C5A0E">
            <w:pPr>
              <w:spacing w:line="312" w:lineRule="auto"/>
              <w:jc w:val="center"/>
              <w:cnfStyle w:val="100000000000"/>
              <w:rPr>
                <w:rFonts w:ascii="Times New Roman" w:eastAsia="宋体" w:hAnsi="Times New Roman" w:cs="Times New Roman"/>
                <w:b w:val="0"/>
                <w:bCs w:val="0"/>
                <w:sz w:val="24"/>
                <w:szCs w:val="24"/>
              </w:rPr>
            </w:pPr>
            <w:r>
              <w:rPr>
                <w:rFonts w:ascii="Times New Roman" w:eastAsia="宋体" w:hAnsi="Times New Roman" w:cs="Times New Roman"/>
                <w:color w:val="auto"/>
                <w:sz w:val="24"/>
                <w:szCs w:val="24"/>
              </w:rPr>
              <w:t>合格批次</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100000000000"/>
              <w:rPr>
                <w:rFonts w:ascii="Times New Roman" w:eastAsia="宋体" w:hAnsi="Times New Roman" w:cs="Times New Roman"/>
                <w:b w:val="0"/>
                <w:bCs w:val="0"/>
                <w:sz w:val="24"/>
                <w:szCs w:val="24"/>
              </w:rPr>
            </w:pPr>
            <w:r>
              <w:rPr>
                <w:rFonts w:ascii="Times New Roman" w:eastAsia="宋体" w:hAnsi="Times New Roman" w:cs="Times New Roman"/>
                <w:color w:val="auto"/>
                <w:sz w:val="24"/>
                <w:szCs w:val="24"/>
              </w:rPr>
              <w:t>合格率（</w:t>
            </w:r>
            <w:r>
              <w:rPr>
                <w:rFonts w:ascii="Times New Roman" w:eastAsia="宋体" w:hAnsi="Times New Roman" w:cs="Times New Roman"/>
                <w:color w:val="auto"/>
                <w:sz w:val="24"/>
                <w:szCs w:val="24"/>
              </w:rPr>
              <w:t>%</w:t>
            </w:r>
            <w:r>
              <w:rPr>
                <w:rFonts w:ascii="Times New Roman" w:eastAsia="宋体" w:hAnsi="Times New Roman" w:cs="Times New Roman"/>
                <w:color w:val="auto"/>
                <w:sz w:val="24"/>
                <w:szCs w:val="24"/>
              </w:rPr>
              <w:t>）</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连城县莲峰阿</w:t>
            </w:r>
            <w:proofErr w:type="gramStart"/>
            <w:r>
              <w:rPr>
                <w:rFonts w:ascii="Times New Roman" w:eastAsia="宋体" w:hAnsi="Times New Roman" w:cs="Times New Roman" w:hint="eastAsia"/>
                <w:color w:val="auto"/>
                <w:sz w:val="24"/>
                <w:szCs w:val="24"/>
              </w:rPr>
              <w:t>郭</w:t>
            </w:r>
            <w:proofErr w:type="gramEnd"/>
            <w:r>
              <w:rPr>
                <w:rFonts w:ascii="Times New Roman" w:eastAsia="宋体" w:hAnsi="Times New Roman" w:cs="Times New Roman" w:hint="eastAsia"/>
                <w:color w:val="auto"/>
                <w:sz w:val="24"/>
                <w:szCs w:val="24"/>
              </w:rPr>
              <w:t>消防器材供应处</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龙岩市明安建材贸易有限公司</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龙岩市欣福安消防设备有限公司</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3</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3</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上杭</w:t>
            </w:r>
            <w:proofErr w:type="gramStart"/>
            <w:r>
              <w:rPr>
                <w:rFonts w:ascii="Times New Roman" w:eastAsia="宋体" w:hAnsi="Times New Roman" w:cs="Times New Roman" w:hint="eastAsia"/>
                <w:color w:val="auto"/>
                <w:sz w:val="24"/>
                <w:szCs w:val="24"/>
              </w:rPr>
              <w:t>县金杭消防器材</w:t>
            </w:r>
            <w:proofErr w:type="gramEnd"/>
            <w:r>
              <w:rPr>
                <w:rFonts w:ascii="Times New Roman" w:eastAsia="宋体" w:hAnsi="Times New Roman" w:cs="Times New Roman" w:hint="eastAsia"/>
                <w:color w:val="auto"/>
                <w:sz w:val="24"/>
                <w:szCs w:val="24"/>
              </w:rPr>
              <w:t>经营部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武平县平安消防器材服务部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新罗区沃特斯阀门经营部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3</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3</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永定区万友消防器材经营部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漳平市顺安消防劳保用品经营部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imes New Roman" w:eastAsia="宋体" w:hAnsi="Times New Roman" w:cs="Times New Roman"/>
                <w:b w:val="0"/>
                <w:bCs w:val="0"/>
                <w:sz w:val="24"/>
                <w:szCs w:val="24"/>
              </w:rPr>
            </w:pPr>
            <w:r>
              <w:rPr>
                <w:rFonts w:ascii="Times New Roman" w:eastAsia="宋体" w:hAnsi="Times New Roman" w:cs="Times New Roman" w:hint="eastAsia"/>
                <w:color w:val="auto"/>
                <w:sz w:val="24"/>
                <w:szCs w:val="24"/>
              </w:rPr>
              <w:t>长汀县大同镇</w:t>
            </w:r>
            <w:proofErr w:type="gramStart"/>
            <w:r>
              <w:rPr>
                <w:rFonts w:ascii="Times New Roman" w:eastAsia="宋体" w:hAnsi="Times New Roman" w:cs="Times New Roman" w:hint="eastAsia"/>
                <w:color w:val="auto"/>
                <w:sz w:val="24"/>
                <w:szCs w:val="24"/>
              </w:rPr>
              <w:t>汀</w:t>
            </w:r>
            <w:proofErr w:type="gramEnd"/>
            <w:r>
              <w:rPr>
                <w:rFonts w:ascii="Times New Roman" w:eastAsia="宋体" w:hAnsi="Times New Roman" w:cs="Times New Roman" w:hint="eastAsia"/>
                <w:color w:val="auto"/>
                <w:sz w:val="24"/>
                <w:szCs w:val="24"/>
              </w:rPr>
              <w:t>安消防器材经营部</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r w:rsidR="00546E16" w:rsidTr="00546E16">
        <w:trPr>
          <w:trHeight w:val="624"/>
          <w:jc w:val="center"/>
        </w:trPr>
        <w:tc>
          <w:tcPr>
            <w:cnfStyle w:val="001000000000"/>
            <w:tcW w:w="3790"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rPr>
                <w:rFonts w:ascii="Arial" w:eastAsia="宋体" w:hAnsi="Arial" w:cs="Arial"/>
                <w:color w:val="000000"/>
                <w:kern w:val="0"/>
                <w:sz w:val="20"/>
                <w:szCs w:val="20"/>
              </w:rPr>
            </w:pPr>
            <w:r>
              <w:rPr>
                <w:rFonts w:asciiTheme="minorEastAsia" w:hAnsiTheme="minorEastAsia" w:cs="Arial" w:hint="eastAsia"/>
                <w:bCs w:val="0"/>
                <w:color w:val="auto"/>
                <w:sz w:val="24"/>
                <w:szCs w:val="24"/>
              </w:rPr>
              <w:t>总计</w:t>
            </w:r>
          </w:p>
        </w:tc>
        <w:tc>
          <w:tcPr>
            <w:tcW w:w="1395"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imes New Roman" w:eastAsia="宋体" w:hAnsi="Times New Roman" w:cs="Times New Roman"/>
                <w:b/>
                <w:bCs/>
                <w:color w:val="000000"/>
                <w:kern w:val="0"/>
                <w:sz w:val="24"/>
                <w:szCs w:val="24"/>
              </w:rPr>
            </w:pPr>
            <w:r>
              <w:rPr>
                <w:rFonts w:asciiTheme="minorEastAsia" w:hAnsiTheme="minorEastAsia" w:cs="Arial" w:hint="eastAsia"/>
                <w:b/>
                <w:bCs/>
                <w:sz w:val="24"/>
                <w:szCs w:val="24"/>
              </w:rPr>
              <w:t>20</w:t>
            </w:r>
          </w:p>
        </w:tc>
        <w:tc>
          <w:tcPr>
            <w:tcW w:w="2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heme="minorEastAsia" w:hAnsiTheme="minorEastAsia" w:cs="Arial" w:hint="eastAsia"/>
                <w:b/>
                <w:bCs/>
                <w:sz w:val="24"/>
                <w:szCs w:val="24"/>
              </w:rPr>
              <w:t>20</w:t>
            </w:r>
          </w:p>
        </w:tc>
        <w:tc>
          <w:tcPr>
            <w:tcW w:w="2014"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100</w:t>
            </w:r>
          </w:p>
        </w:tc>
      </w:tr>
    </w:tbl>
    <w:p w:rsidR="00546E16" w:rsidRDefault="00546E16">
      <w:pPr>
        <w:pStyle w:val="1"/>
        <w:spacing w:line="360" w:lineRule="auto"/>
        <w:ind w:firstLineChars="0" w:firstLine="0"/>
        <w:rPr>
          <w:rFonts w:asciiTheme="majorEastAsia" w:eastAsiaTheme="majorEastAsia" w:hAnsiTheme="majorEastAsia" w:cstheme="majorEastAsia"/>
          <w:b/>
          <w:bCs/>
          <w:spacing w:val="4"/>
          <w:sz w:val="24"/>
          <w:szCs w:val="24"/>
        </w:rPr>
      </w:pPr>
    </w:p>
    <w:p w:rsidR="00546E16" w:rsidRDefault="00546E16">
      <w:pPr>
        <w:pStyle w:val="1"/>
        <w:spacing w:line="360" w:lineRule="auto"/>
        <w:ind w:firstLineChars="0" w:firstLine="0"/>
        <w:rPr>
          <w:rFonts w:asciiTheme="majorEastAsia" w:eastAsiaTheme="majorEastAsia" w:hAnsiTheme="majorEastAsia" w:cstheme="majorEastAsia"/>
          <w:b/>
          <w:bCs/>
          <w:spacing w:val="4"/>
          <w:sz w:val="24"/>
          <w:szCs w:val="24"/>
        </w:rPr>
      </w:pPr>
    </w:p>
    <w:p w:rsidR="00546E16" w:rsidRDefault="006C5A0E">
      <w:pPr>
        <w:pStyle w:val="1"/>
        <w:spacing w:line="360" w:lineRule="auto"/>
        <w:ind w:firstLineChars="0" w:firstLine="0"/>
        <w:rPr>
          <w:rFonts w:asciiTheme="majorEastAsia" w:eastAsiaTheme="majorEastAsia" w:hAnsiTheme="majorEastAsia" w:cstheme="majorEastAsia"/>
          <w:b/>
          <w:bCs/>
          <w:spacing w:val="4"/>
          <w:sz w:val="24"/>
          <w:szCs w:val="24"/>
        </w:rPr>
      </w:pPr>
      <w:r>
        <w:rPr>
          <w:rFonts w:asciiTheme="majorEastAsia" w:eastAsiaTheme="majorEastAsia" w:hAnsiTheme="majorEastAsia" w:cstheme="majorEastAsia" w:hint="eastAsia"/>
          <w:b/>
          <w:bCs/>
          <w:noProof/>
          <w:spacing w:val="4"/>
          <w:sz w:val="24"/>
          <w:szCs w:val="24"/>
        </w:rPr>
        <w:lastRenderedPageBreak/>
        <w:drawing>
          <wp:inline distT="0" distB="0" distL="114300" distR="114300">
            <wp:extent cx="5364480" cy="3990975"/>
            <wp:effectExtent l="4445" t="4445" r="22225" b="508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46E16" w:rsidRDefault="00546E16">
      <w:pPr>
        <w:pStyle w:val="1"/>
        <w:spacing w:line="360" w:lineRule="auto"/>
        <w:ind w:firstLineChars="0" w:firstLine="0"/>
        <w:rPr>
          <w:rFonts w:asciiTheme="majorEastAsia" w:eastAsiaTheme="majorEastAsia" w:hAnsiTheme="majorEastAsia" w:cstheme="majorEastAsia"/>
          <w:b/>
          <w:bCs/>
          <w:spacing w:val="4"/>
          <w:sz w:val="24"/>
          <w:szCs w:val="24"/>
        </w:rPr>
      </w:pPr>
    </w:p>
    <w:p w:rsidR="00546E16" w:rsidRDefault="006C5A0E">
      <w:pPr>
        <w:pStyle w:val="1"/>
        <w:spacing w:line="360" w:lineRule="auto"/>
        <w:ind w:firstLineChars="0" w:firstLine="0"/>
        <w:rPr>
          <w:rFonts w:asciiTheme="majorEastAsia" w:eastAsiaTheme="majorEastAsia" w:hAnsiTheme="majorEastAsia" w:cstheme="majorEastAsia"/>
          <w:b/>
          <w:bCs/>
          <w:spacing w:val="4"/>
          <w:sz w:val="24"/>
          <w:szCs w:val="24"/>
        </w:rPr>
      </w:pPr>
      <w:r>
        <w:rPr>
          <w:rFonts w:asciiTheme="majorEastAsia" w:eastAsiaTheme="majorEastAsia" w:hAnsiTheme="majorEastAsia" w:cstheme="majorEastAsia" w:hint="eastAsia"/>
          <w:b/>
          <w:bCs/>
          <w:noProof/>
          <w:spacing w:val="4"/>
          <w:sz w:val="24"/>
          <w:szCs w:val="24"/>
        </w:rPr>
        <w:drawing>
          <wp:inline distT="0" distB="0" distL="114300" distR="114300">
            <wp:extent cx="5160645" cy="3800475"/>
            <wp:effectExtent l="4445" t="4445" r="16510" b="508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46E16" w:rsidRDefault="00546E16">
      <w:pPr>
        <w:pStyle w:val="1"/>
        <w:spacing w:line="360" w:lineRule="auto"/>
        <w:ind w:firstLineChars="0" w:firstLine="0"/>
      </w:pPr>
    </w:p>
    <w:p w:rsidR="00546E16" w:rsidRDefault="00546E16">
      <w:pPr>
        <w:pStyle w:val="1"/>
        <w:spacing w:line="360" w:lineRule="auto"/>
        <w:ind w:firstLineChars="0" w:firstLine="0"/>
      </w:pPr>
    </w:p>
    <w:p w:rsidR="00546E16" w:rsidRDefault="00546E16">
      <w:pPr>
        <w:pStyle w:val="1"/>
        <w:spacing w:line="360" w:lineRule="auto"/>
        <w:ind w:firstLineChars="0" w:firstLine="0"/>
      </w:pPr>
    </w:p>
    <w:p w:rsidR="00546E16" w:rsidRDefault="006C5A0E">
      <w:pPr>
        <w:pStyle w:val="1"/>
        <w:spacing w:line="360" w:lineRule="auto"/>
        <w:ind w:firstLineChars="0" w:firstLine="0"/>
        <w:rPr>
          <w:rFonts w:asciiTheme="majorEastAsia" w:eastAsiaTheme="majorEastAsia" w:hAnsiTheme="majorEastAsia" w:cstheme="majorEastAsia"/>
          <w:b/>
          <w:bCs/>
          <w:spacing w:val="4"/>
          <w:sz w:val="24"/>
          <w:szCs w:val="24"/>
        </w:rPr>
      </w:pPr>
      <w:r>
        <w:rPr>
          <w:rFonts w:asciiTheme="majorEastAsia" w:eastAsiaTheme="majorEastAsia" w:hAnsiTheme="majorEastAsia" w:cstheme="majorEastAsia" w:hint="eastAsia"/>
          <w:b/>
          <w:bCs/>
          <w:spacing w:val="4"/>
          <w:sz w:val="24"/>
          <w:szCs w:val="24"/>
        </w:rPr>
        <w:lastRenderedPageBreak/>
        <w:t>（2）抽查区域情况</w:t>
      </w:r>
    </w:p>
    <w:p w:rsidR="00546E16" w:rsidRDefault="006C5A0E">
      <w:pPr>
        <w:pStyle w:val="1"/>
        <w:spacing w:line="360" w:lineRule="auto"/>
        <w:ind w:leftChars="100" w:left="210" w:firstLine="480"/>
        <w:rPr>
          <w:rFonts w:asciiTheme="minorEastAsia" w:hAnsiTheme="minorEastAsia"/>
          <w:sz w:val="24"/>
          <w:szCs w:val="24"/>
        </w:rPr>
      </w:pPr>
      <w:r>
        <w:rPr>
          <w:rFonts w:asciiTheme="minorEastAsia" w:hAnsiTheme="minorEastAsia" w:hint="eastAsia"/>
          <w:sz w:val="24"/>
          <w:szCs w:val="24"/>
        </w:rPr>
        <w:t>此次抽查的商品共覆盖6个所辖区域20批次，其中连城县2批合格2批次，上杭县2批次合格2批次，武平县2批次合格2批次,新罗区8批次合格8批次,永定区2批次合格2批次,漳平市2批次合格2批次,长汀县2批次合格2批次。所辖区域抽查结果见表2和图3、图4。</w:t>
      </w:r>
    </w:p>
    <w:p w:rsidR="00546E16" w:rsidRDefault="006C5A0E">
      <w:pPr>
        <w:pStyle w:val="1"/>
        <w:spacing w:line="360" w:lineRule="auto"/>
        <w:ind w:firstLineChars="0" w:firstLine="0"/>
        <w:jc w:val="center"/>
        <w:rPr>
          <w:rFonts w:asciiTheme="minorEastAsia" w:hAnsiTheme="minorEastAsia"/>
          <w:b/>
          <w:sz w:val="28"/>
          <w:szCs w:val="28"/>
        </w:rPr>
      </w:pPr>
      <w:r>
        <w:rPr>
          <w:rFonts w:asciiTheme="minorEastAsia" w:hAnsiTheme="minorEastAsia" w:hint="eastAsia"/>
          <w:b/>
          <w:sz w:val="28"/>
          <w:szCs w:val="28"/>
        </w:rPr>
        <w:t>表2抽查区域结果</w:t>
      </w:r>
    </w:p>
    <w:tbl>
      <w:tblPr>
        <w:tblStyle w:val="3-5"/>
        <w:tblW w:w="8900"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2219"/>
        <w:gridCol w:w="2070"/>
        <w:gridCol w:w="2164"/>
        <w:gridCol w:w="2447"/>
      </w:tblGrid>
      <w:tr w:rsidR="00546E16" w:rsidTr="00546E16">
        <w:trPr>
          <w:cnfStyle w:val="100000000000"/>
          <w:trHeight w:val="586"/>
        </w:trPr>
        <w:tc>
          <w:tcPr>
            <w:cnfStyle w:val="001000000000"/>
            <w:tcW w:w="2219" w:type="dxa"/>
            <w:tcBorders>
              <w:top w:val="single" w:sz="4" w:space="0" w:color="auto"/>
              <w:left w:val="single" w:sz="4" w:space="0" w:color="auto"/>
              <w:bottom w:val="nil"/>
            </w:tcBorders>
            <w:shd w:val="clear" w:color="auto" w:fill="FFFFFF" w:themeFill="background1"/>
          </w:tcPr>
          <w:p w:rsidR="00546E16" w:rsidRDefault="006C5A0E">
            <w:pPr>
              <w:spacing w:line="312" w:lineRule="auto"/>
              <w:jc w:val="center"/>
              <w:rPr>
                <w:rFonts w:asciiTheme="minorEastAsia" w:hAnsiTheme="minorEastAsia"/>
                <w:b w:val="0"/>
                <w:bCs w:val="0"/>
                <w:sz w:val="24"/>
                <w:szCs w:val="24"/>
              </w:rPr>
            </w:pPr>
            <w:bookmarkStart w:id="0" w:name="OLE_LINK1"/>
            <w:bookmarkStart w:id="1" w:name="OLE_LINK2"/>
            <w:r>
              <w:rPr>
                <w:rFonts w:asciiTheme="minorEastAsia" w:hAnsiTheme="minorEastAsia"/>
                <w:color w:val="auto"/>
                <w:sz w:val="24"/>
                <w:szCs w:val="24"/>
              </w:rPr>
              <w:t>抽查</w:t>
            </w:r>
            <w:r>
              <w:rPr>
                <w:rFonts w:asciiTheme="minorEastAsia" w:hAnsiTheme="minorEastAsia" w:hint="eastAsia"/>
                <w:color w:val="auto"/>
                <w:sz w:val="24"/>
                <w:szCs w:val="24"/>
              </w:rPr>
              <w:t>类别</w:t>
            </w:r>
          </w:p>
        </w:tc>
        <w:tc>
          <w:tcPr>
            <w:tcW w:w="2070" w:type="dxa"/>
            <w:tcBorders>
              <w:top w:val="single" w:sz="4" w:space="0" w:color="auto"/>
              <w:left w:val="single" w:sz="4" w:space="0" w:color="auto"/>
              <w:bottom w:val="single" w:sz="4" w:space="0" w:color="auto"/>
            </w:tcBorders>
            <w:shd w:val="clear" w:color="auto" w:fill="FFFFFF" w:themeFill="background1"/>
          </w:tcPr>
          <w:p w:rsidR="00546E16" w:rsidRDefault="006C5A0E">
            <w:pPr>
              <w:spacing w:line="312" w:lineRule="auto"/>
              <w:jc w:val="center"/>
              <w:cnfStyle w:val="100000000000"/>
              <w:rPr>
                <w:rFonts w:asciiTheme="minorEastAsia" w:hAnsiTheme="minorEastAsia"/>
                <w:b w:val="0"/>
                <w:bCs w:val="0"/>
                <w:sz w:val="24"/>
                <w:szCs w:val="24"/>
              </w:rPr>
            </w:pPr>
            <w:r>
              <w:rPr>
                <w:rFonts w:asciiTheme="minorEastAsia" w:hAnsiTheme="minorEastAsia" w:hint="eastAsia"/>
                <w:color w:val="auto"/>
                <w:sz w:val="24"/>
                <w:szCs w:val="24"/>
              </w:rPr>
              <w:t>抽查批次</w:t>
            </w:r>
          </w:p>
        </w:tc>
        <w:tc>
          <w:tcPr>
            <w:tcW w:w="2164" w:type="dxa"/>
            <w:tcBorders>
              <w:top w:val="single" w:sz="4" w:space="0" w:color="auto"/>
              <w:left w:val="single" w:sz="4" w:space="0" w:color="auto"/>
              <w:bottom w:val="single" w:sz="4" w:space="0" w:color="auto"/>
            </w:tcBorders>
            <w:shd w:val="clear" w:color="auto" w:fill="FFFFFF" w:themeFill="background1"/>
          </w:tcPr>
          <w:p w:rsidR="00546E16" w:rsidRDefault="006C5A0E">
            <w:pPr>
              <w:spacing w:line="312" w:lineRule="auto"/>
              <w:jc w:val="center"/>
              <w:cnfStyle w:val="100000000000"/>
              <w:rPr>
                <w:rFonts w:asciiTheme="minorEastAsia" w:hAnsiTheme="minorEastAsia"/>
                <w:b w:val="0"/>
                <w:bCs w:val="0"/>
                <w:sz w:val="24"/>
                <w:szCs w:val="24"/>
              </w:rPr>
            </w:pPr>
            <w:r>
              <w:rPr>
                <w:rFonts w:asciiTheme="minorEastAsia" w:hAnsiTheme="minorEastAsia" w:hint="eastAsia"/>
                <w:color w:val="auto"/>
                <w:sz w:val="24"/>
                <w:szCs w:val="24"/>
              </w:rPr>
              <w:t>合格批次</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100000000000"/>
              <w:rPr>
                <w:rFonts w:asciiTheme="minorEastAsia" w:hAnsiTheme="minorEastAsia"/>
                <w:b w:val="0"/>
                <w:bCs w:val="0"/>
                <w:sz w:val="24"/>
                <w:szCs w:val="24"/>
              </w:rPr>
            </w:pPr>
            <w:r>
              <w:rPr>
                <w:rFonts w:asciiTheme="minorEastAsia" w:hAnsiTheme="minorEastAsia" w:hint="eastAsia"/>
                <w:color w:val="auto"/>
                <w:sz w:val="24"/>
                <w:szCs w:val="24"/>
              </w:rPr>
              <w:t>合格率（%）</w:t>
            </w:r>
          </w:p>
        </w:tc>
      </w:tr>
      <w:tr w:rsidR="00546E16" w:rsidTr="00546E16">
        <w:trPr>
          <w:trHeight w:val="586"/>
        </w:trPr>
        <w:tc>
          <w:tcPr>
            <w:cnfStyle w:val="001000000000"/>
            <w:tcW w:w="2219"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连城县</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上杭县</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武平县</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新罗区</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8</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8</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永定区</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漳平市</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586"/>
        </w:trPr>
        <w:tc>
          <w:tcPr>
            <w:cnfStyle w:val="001000000000"/>
            <w:tcW w:w="2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rPr>
                <w:rFonts w:asciiTheme="minorEastAsia" w:hAnsiTheme="minorEastAsia" w:cs="Arial"/>
                <w:b w:val="0"/>
                <w:bCs w:val="0"/>
                <w:sz w:val="24"/>
                <w:szCs w:val="24"/>
              </w:rPr>
            </w:pPr>
            <w:r>
              <w:rPr>
                <w:rFonts w:asciiTheme="minorEastAsia" w:hAnsiTheme="minorEastAsia" w:cs="Arial" w:hint="eastAsia"/>
                <w:sz w:val="24"/>
                <w:szCs w:val="24"/>
              </w:rPr>
              <w:t>长汀县</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w:t>
            </w:r>
          </w:p>
        </w:tc>
        <w:tc>
          <w:tcPr>
            <w:tcW w:w="2447" w:type="dxa"/>
            <w:tcBorders>
              <w:top w:val="single" w:sz="4" w:space="0" w:color="auto"/>
              <w:left w:val="single" w:sz="4" w:space="0" w:color="auto"/>
              <w:bottom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tr w:rsidR="00546E16" w:rsidTr="00546E16">
        <w:trPr>
          <w:trHeight w:val="612"/>
        </w:trPr>
        <w:tc>
          <w:tcPr>
            <w:cnfStyle w:val="001000000000"/>
            <w:tcW w:w="2219" w:type="dxa"/>
            <w:tcBorders>
              <w:top w:val="single" w:sz="4" w:space="0" w:color="auto"/>
              <w:left w:val="single" w:sz="4" w:space="0" w:color="auto"/>
              <w:right w:val="single" w:sz="4" w:space="0" w:color="auto"/>
            </w:tcBorders>
            <w:shd w:val="clear" w:color="auto" w:fill="FFFFFF" w:themeFill="background1"/>
          </w:tcPr>
          <w:p w:rsidR="00546E16" w:rsidRDefault="006C5A0E">
            <w:pPr>
              <w:spacing w:line="312" w:lineRule="auto"/>
              <w:jc w:val="center"/>
              <w:rPr>
                <w:rFonts w:asciiTheme="minorEastAsia" w:hAnsiTheme="minorEastAsia" w:cs="Arial"/>
                <w:b w:val="0"/>
                <w:sz w:val="24"/>
                <w:szCs w:val="24"/>
              </w:rPr>
            </w:pPr>
            <w:r>
              <w:rPr>
                <w:rFonts w:asciiTheme="minorEastAsia" w:hAnsiTheme="minorEastAsia" w:cs="Arial" w:hint="eastAsia"/>
                <w:bCs w:val="0"/>
                <w:color w:val="auto"/>
                <w:sz w:val="24"/>
                <w:szCs w:val="24"/>
              </w:rPr>
              <w:t>总计</w:t>
            </w:r>
          </w:p>
        </w:tc>
        <w:tc>
          <w:tcPr>
            <w:tcW w:w="2070" w:type="dxa"/>
            <w:tcBorders>
              <w:top w:val="single" w:sz="4" w:space="0" w:color="auto"/>
              <w:left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20</w:t>
            </w:r>
          </w:p>
        </w:tc>
        <w:tc>
          <w:tcPr>
            <w:tcW w:w="2164" w:type="dxa"/>
            <w:tcBorders>
              <w:top w:val="single" w:sz="4" w:space="0" w:color="auto"/>
              <w:left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20</w:t>
            </w:r>
          </w:p>
        </w:tc>
        <w:tc>
          <w:tcPr>
            <w:tcW w:w="2447" w:type="dxa"/>
            <w:tcBorders>
              <w:top w:val="single" w:sz="4" w:space="0" w:color="auto"/>
              <w:left w:val="single" w:sz="4" w:space="0" w:color="auto"/>
              <w:right w:val="single" w:sz="4" w:space="0" w:color="auto"/>
            </w:tcBorders>
            <w:shd w:val="clear" w:color="auto" w:fill="FFFFFF" w:themeFill="background1"/>
          </w:tcPr>
          <w:p w:rsidR="00546E16" w:rsidRDefault="006C5A0E">
            <w:pPr>
              <w:spacing w:line="312" w:lineRule="auto"/>
              <w:jc w:val="center"/>
              <w:cnfStyle w:val="000000000000"/>
              <w:rPr>
                <w:rFonts w:asciiTheme="minorEastAsia" w:hAnsiTheme="minorEastAsia" w:cs="Arial"/>
                <w:b/>
                <w:bCs/>
                <w:sz w:val="24"/>
                <w:szCs w:val="24"/>
              </w:rPr>
            </w:pPr>
            <w:r>
              <w:rPr>
                <w:rFonts w:asciiTheme="minorEastAsia" w:hAnsiTheme="minorEastAsia" w:cs="Arial" w:hint="eastAsia"/>
                <w:b/>
                <w:bCs/>
                <w:sz w:val="24"/>
                <w:szCs w:val="24"/>
              </w:rPr>
              <w:t>100</w:t>
            </w:r>
          </w:p>
        </w:tc>
      </w:tr>
      <w:bookmarkEnd w:id="0"/>
      <w:bookmarkEnd w:id="1"/>
    </w:tbl>
    <w:p w:rsidR="00546E16" w:rsidRDefault="00546E16">
      <w:pPr>
        <w:pStyle w:val="1"/>
        <w:spacing w:line="360" w:lineRule="auto"/>
        <w:ind w:firstLineChars="0" w:firstLine="0"/>
        <w:jc w:val="center"/>
      </w:pPr>
    </w:p>
    <w:p w:rsidR="00546E16" w:rsidRDefault="00546E16">
      <w:pPr>
        <w:pStyle w:val="1"/>
        <w:spacing w:line="360" w:lineRule="auto"/>
        <w:ind w:firstLineChars="0" w:firstLine="0"/>
        <w:jc w:val="center"/>
      </w:pPr>
    </w:p>
    <w:p w:rsidR="00546E16" w:rsidRDefault="006C5A0E">
      <w:pPr>
        <w:pStyle w:val="1"/>
        <w:spacing w:line="360" w:lineRule="auto"/>
        <w:ind w:firstLineChars="0" w:firstLine="0"/>
        <w:jc w:val="center"/>
      </w:pPr>
      <w:r>
        <w:rPr>
          <w:noProof/>
        </w:rPr>
        <w:drawing>
          <wp:inline distT="0" distB="0" distL="0" distR="0">
            <wp:extent cx="5251450" cy="3212465"/>
            <wp:effectExtent l="0" t="0" r="6350" b="698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46E16" w:rsidRDefault="006C5A0E">
      <w:pPr>
        <w:pStyle w:val="1"/>
        <w:spacing w:line="360" w:lineRule="auto"/>
        <w:ind w:firstLineChars="0" w:firstLine="0"/>
      </w:pPr>
      <w:r>
        <w:rPr>
          <w:rFonts w:hint="eastAsia"/>
          <w:noProof/>
        </w:rPr>
        <w:lastRenderedPageBreak/>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46E16" w:rsidRDefault="00546E16">
      <w:pPr>
        <w:spacing w:line="360" w:lineRule="auto"/>
        <w:rPr>
          <w:rFonts w:ascii="宋体" w:eastAsia="宋体" w:hAnsi="宋体"/>
          <w:b/>
          <w:bCs/>
          <w:spacing w:val="4"/>
          <w:sz w:val="24"/>
          <w:szCs w:val="24"/>
        </w:rPr>
      </w:pPr>
    </w:p>
    <w:p w:rsidR="00546E16" w:rsidRDefault="006C5A0E">
      <w:pPr>
        <w:numPr>
          <w:ilvl w:val="0"/>
          <w:numId w:val="1"/>
        </w:numPr>
        <w:spacing w:line="360" w:lineRule="auto"/>
        <w:rPr>
          <w:rFonts w:ascii="宋体" w:eastAsia="宋体" w:hAnsi="宋体" w:cs="Times New Roman"/>
          <w:b/>
          <w:bCs/>
          <w:spacing w:val="4"/>
          <w:sz w:val="24"/>
          <w:szCs w:val="24"/>
        </w:rPr>
      </w:pPr>
      <w:r>
        <w:rPr>
          <w:rFonts w:ascii="宋体" w:eastAsia="宋体" w:hAnsi="宋体" w:cs="Times New Roman" w:hint="eastAsia"/>
          <w:b/>
          <w:bCs/>
          <w:spacing w:val="4"/>
          <w:sz w:val="24"/>
          <w:szCs w:val="24"/>
        </w:rPr>
        <w:t>消防器材常见不合格项目危害：</w:t>
      </w:r>
    </w:p>
    <w:p w:rsidR="00546E16" w:rsidRDefault="006C5A0E">
      <w:pPr>
        <w:spacing w:line="360" w:lineRule="auto"/>
        <w:rPr>
          <w:rFonts w:ascii="宋体" w:eastAsia="宋体" w:hAnsi="宋体" w:cs="Times New Roman"/>
          <w:b/>
          <w:bCs/>
          <w:spacing w:val="4"/>
          <w:sz w:val="24"/>
          <w:szCs w:val="24"/>
        </w:rPr>
      </w:pPr>
      <w:r>
        <w:rPr>
          <w:rFonts w:ascii="宋体" w:eastAsia="宋体" w:hAnsi="宋体" w:cs="Times New Roman" w:hint="eastAsia"/>
          <w:b/>
          <w:bCs/>
          <w:spacing w:val="4"/>
          <w:sz w:val="24"/>
          <w:szCs w:val="24"/>
        </w:rPr>
        <w:t>1.1灭火器常见不合格项目危害</w:t>
      </w:r>
    </w:p>
    <w:p w:rsidR="00546E16" w:rsidRDefault="006C5A0E">
      <w:pPr>
        <w:spacing w:line="360" w:lineRule="auto"/>
        <w:rPr>
          <w:rFonts w:asciiTheme="minorEastAsia" w:hAnsiTheme="minorEastAsia"/>
          <w:sz w:val="24"/>
          <w:szCs w:val="24"/>
        </w:rPr>
      </w:pPr>
      <w:r>
        <w:rPr>
          <w:rFonts w:asciiTheme="minorEastAsia" w:hAnsiTheme="minorEastAsia" w:hint="eastAsia"/>
          <w:sz w:val="24"/>
          <w:szCs w:val="24"/>
        </w:rPr>
        <w:t>1.1.1 灭火剂充装量偏差不合格：灭火剂充装量是反映产品性能的重要指标，该项目不合格会导致灭火器性能下降，极易造成灭火器器头堵塞，从而导致灭火器喷射性能降低，达不到消灭初期火灾的效果。</w:t>
      </w:r>
    </w:p>
    <w:p w:rsidR="00546E16" w:rsidRDefault="006C5A0E">
      <w:pPr>
        <w:spacing w:line="360" w:lineRule="auto"/>
        <w:rPr>
          <w:rFonts w:asciiTheme="minorEastAsia" w:hAnsiTheme="minorEastAsia"/>
          <w:sz w:val="24"/>
          <w:szCs w:val="24"/>
        </w:rPr>
      </w:pPr>
      <w:r>
        <w:rPr>
          <w:rFonts w:asciiTheme="minorEastAsia" w:hAnsiTheme="minorEastAsia" w:hint="eastAsia"/>
          <w:sz w:val="24"/>
          <w:szCs w:val="24"/>
        </w:rPr>
        <w:t>1.1.2 20℃喷射性能不合格：20℃喷射性能是反映产品性能的重要指标，该项目不合格会导致使用灭火器时因无法使灭火器喷射到达着火点位置，或者喷射时间短、滞后时间过长难以有效控制火情；干粉剩余量过多，有效利用率低，难以有效控制火情。</w:t>
      </w:r>
    </w:p>
    <w:p w:rsidR="00546E16" w:rsidRDefault="006C5A0E">
      <w:pPr>
        <w:spacing w:line="360" w:lineRule="auto"/>
        <w:rPr>
          <w:rFonts w:asciiTheme="minorEastAsia" w:hAnsiTheme="minorEastAsia"/>
          <w:sz w:val="24"/>
          <w:szCs w:val="24"/>
        </w:rPr>
      </w:pPr>
      <w:r>
        <w:rPr>
          <w:rFonts w:ascii="宋体" w:eastAsia="宋体" w:hAnsi="宋体" w:cs="Times New Roman" w:hint="eastAsia"/>
          <w:b/>
          <w:bCs/>
          <w:spacing w:val="4"/>
          <w:sz w:val="24"/>
          <w:szCs w:val="24"/>
        </w:rPr>
        <w:t>1.2消防水带常见不合格项目危害</w:t>
      </w:r>
    </w:p>
    <w:p w:rsidR="00546E16" w:rsidRDefault="006C5A0E">
      <w:pPr>
        <w:spacing w:line="360" w:lineRule="auto"/>
        <w:rPr>
          <w:rFonts w:asciiTheme="minorEastAsia" w:hAnsiTheme="minorEastAsia"/>
          <w:sz w:val="24"/>
          <w:szCs w:val="24"/>
        </w:rPr>
      </w:pPr>
      <w:r>
        <w:rPr>
          <w:rFonts w:asciiTheme="minorEastAsia" w:hAnsiTheme="minorEastAsia" w:hint="eastAsia"/>
          <w:sz w:val="24"/>
          <w:szCs w:val="24"/>
        </w:rPr>
        <w:t>1.2.1 内径公差不合格：水带内径是反映产品性能的重要指标，该项目不合格，水带与接口处密封性能差，容易出现漏水现象，影响产品的使用性能。</w:t>
      </w:r>
    </w:p>
    <w:p w:rsidR="00546E16" w:rsidRDefault="006C5A0E">
      <w:pPr>
        <w:spacing w:line="360" w:lineRule="auto"/>
        <w:rPr>
          <w:rFonts w:ascii="宋体" w:eastAsia="宋体" w:hAnsi="宋体" w:cs="Times New Roman"/>
          <w:b/>
          <w:bCs/>
          <w:spacing w:val="4"/>
          <w:sz w:val="24"/>
          <w:szCs w:val="24"/>
        </w:rPr>
      </w:pPr>
      <w:r>
        <w:rPr>
          <w:rFonts w:ascii="宋体" w:eastAsia="宋体" w:hAnsi="宋体" w:cs="Times New Roman" w:hint="eastAsia"/>
          <w:b/>
          <w:bCs/>
          <w:spacing w:val="4"/>
          <w:sz w:val="24"/>
          <w:szCs w:val="24"/>
        </w:rPr>
        <w:t>1.3消防水枪常见不合格项目危害</w:t>
      </w:r>
    </w:p>
    <w:p w:rsidR="00546E16" w:rsidRDefault="00546E16">
      <w:pPr>
        <w:spacing w:line="360" w:lineRule="auto"/>
        <w:rPr>
          <w:rFonts w:asciiTheme="minorEastAsia" w:hAnsiTheme="minorEastAsia"/>
          <w:sz w:val="24"/>
          <w:szCs w:val="24"/>
        </w:rPr>
      </w:pPr>
    </w:p>
    <w:p w:rsidR="00546E16" w:rsidRDefault="006C5A0E">
      <w:pPr>
        <w:spacing w:line="360" w:lineRule="auto"/>
        <w:rPr>
          <w:rFonts w:asciiTheme="minorEastAsia" w:hAnsiTheme="minorEastAsia"/>
          <w:sz w:val="24"/>
          <w:szCs w:val="24"/>
        </w:rPr>
      </w:pPr>
      <w:r>
        <w:rPr>
          <w:rFonts w:asciiTheme="minorEastAsia" w:hAnsiTheme="minorEastAsia" w:hint="eastAsia"/>
          <w:sz w:val="24"/>
          <w:szCs w:val="24"/>
        </w:rPr>
        <w:t>1.3.1 密封性能不合格：密封性能是反映产品性能的重要指标，该项目不合格导致产品在使用过程中出现漏水现象，在短时间内水压及水流量难以达到理想效果，</w:t>
      </w:r>
      <w:r>
        <w:rPr>
          <w:rFonts w:asciiTheme="minorEastAsia" w:hAnsiTheme="minorEastAsia" w:hint="eastAsia"/>
          <w:sz w:val="24"/>
          <w:szCs w:val="24"/>
        </w:rPr>
        <w:lastRenderedPageBreak/>
        <w:t>难以达到理想的灭火效果。</w:t>
      </w:r>
    </w:p>
    <w:p w:rsidR="00546E16" w:rsidRDefault="006C5A0E">
      <w:pPr>
        <w:spacing w:line="360" w:lineRule="auto"/>
        <w:rPr>
          <w:rFonts w:asciiTheme="minorEastAsia" w:hAnsiTheme="minorEastAsia"/>
          <w:sz w:val="24"/>
          <w:szCs w:val="24"/>
        </w:rPr>
      </w:pPr>
      <w:r>
        <w:rPr>
          <w:rFonts w:asciiTheme="minorEastAsia" w:hAnsiTheme="minorEastAsia" w:hint="eastAsia"/>
          <w:sz w:val="24"/>
          <w:szCs w:val="24"/>
        </w:rPr>
        <w:t>1.3.2 耐水压强度不合格：耐水压强度是反映产品性能的重要指标，该项目不合格导致产品在使用过程中难以承受额定的水压，对控制火情难以起到良好的效果。</w:t>
      </w:r>
    </w:p>
    <w:p w:rsidR="00546E16" w:rsidRDefault="00546E16">
      <w:pPr>
        <w:rPr>
          <w:rFonts w:ascii="宋体" w:eastAsia="宋体" w:hAnsi="宋体"/>
          <w:b/>
          <w:bCs/>
          <w:spacing w:val="4"/>
          <w:sz w:val="24"/>
          <w:szCs w:val="24"/>
        </w:rPr>
      </w:pPr>
    </w:p>
    <w:p w:rsidR="00546E16" w:rsidRDefault="006C5A0E">
      <w:pPr>
        <w:rPr>
          <w:rFonts w:ascii="宋体" w:eastAsia="宋体" w:hAnsi="宋体" w:cs="Times New Roman"/>
          <w:b/>
          <w:bCs/>
          <w:spacing w:val="4"/>
          <w:sz w:val="24"/>
          <w:szCs w:val="24"/>
        </w:rPr>
      </w:pPr>
      <w:r>
        <w:rPr>
          <w:rFonts w:ascii="宋体" w:eastAsia="宋体" w:hAnsi="宋体" w:hint="eastAsia"/>
          <w:b/>
          <w:bCs/>
          <w:spacing w:val="4"/>
          <w:sz w:val="24"/>
          <w:szCs w:val="24"/>
        </w:rPr>
        <w:t>三</w:t>
      </w:r>
      <w:r>
        <w:rPr>
          <w:rFonts w:ascii="宋体" w:eastAsia="宋体" w:hAnsi="宋体" w:cs="Times New Roman" w:hint="eastAsia"/>
          <w:b/>
          <w:bCs/>
          <w:spacing w:val="4"/>
          <w:sz w:val="24"/>
          <w:szCs w:val="24"/>
        </w:rPr>
        <w:t xml:space="preserve">、建议和措施： </w:t>
      </w:r>
    </w:p>
    <w:p w:rsidR="00546E16" w:rsidRDefault="006C5A0E">
      <w:pPr>
        <w:spacing w:line="360" w:lineRule="auto"/>
        <w:ind w:firstLineChars="200" w:firstLine="496"/>
        <w:rPr>
          <w:rFonts w:ascii="宋体" w:eastAsia="宋体" w:hAnsi="宋体"/>
          <w:spacing w:val="4"/>
          <w:sz w:val="24"/>
          <w:szCs w:val="24"/>
        </w:rPr>
      </w:pPr>
      <w:r>
        <w:rPr>
          <w:rFonts w:ascii="宋体" w:eastAsia="宋体" w:hAnsi="宋体" w:hint="eastAsia"/>
          <w:spacing w:val="4"/>
          <w:sz w:val="24"/>
          <w:szCs w:val="24"/>
        </w:rPr>
        <w:t>1、倡导消费者选购标识齐全的产品。</w:t>
      </w:r>
    </w:p>
    <w:p w:rsidR="00546E16" w:rsidRDefault="006C5A0E">
      <w:pPr>
        <w:spacing w:line="360" w:lineRule="auto"/>
        <w:ind w:firstLineChars="200" w:firstLine="496"/>
        <w:rPr>
          <w:rFonts w:ascii="宋体" w:eastAsia="宋体" w:hAnsi="宋体" w:cs="Times New Roman"/>
          <w:sz w:val="24"/>
          <w:szCs w:val="24"/>
        </w:rPr>
      </w:pPr>
      <w:r>
        <w:rPr>
          <w:rFonts w:ascii="宋体" w:eastAsia="宋体" w:hAnsi="宋体" w:hint="eastAsia"/>
          <w:spacing w:val="4"/>
          <w:sz w:val="24"/>
          <w:szCs w:val="24"/>
        </w:rPr>
        <w:t>2</w:t>
      </w:r>
      <w:bookmarkStart w:id="2" w:name="_GoBack"/>
      <w:bookmarkEnd w:id="2"/>
      <w:r>
        <w:rPr>
          <w:rFonts w:ascii="宋体" w:eastAsia="宋体" w:hAnsi="宋体" w:hint="eastAsia"/>
          <w:spacing w:val="4"/>
          <w:sz w:val="24"/>
          <w:szCs w:val="24"/>
        </w:rPr>
        <w:t>、可选择一些大型企业、知名品牌的产品，这些企业的产品生产设备先进，生产过程管理严格，使用的原材料质量较好。</w:t>
      </w:r>
    </w:p>
    <w:p w:rsidR="00546E16" w:rsidRDefault="00546E16">
      <w:pPr>
        <w:spacing w:line="360" w:lineRule="auto"/>
        <w:ind w:firstLineChars="200" w:firstLine="480"/>
        <w:rPr>
          <w:rFonts w:ascii="宋体" w:eastAsia="宋体" w:hAnsi="宋体" w:cs="Times New Roman"/>
          <w:sz w:val="24"/>
          <w:szCs w:val="24"/>
        </w:rPr>
      </w:pPr>
    </w:p>
    <w:p w:rsidR="00546E16" w:rsidRDefault="00A30B4F">
      <w:pPr>
        <w:spacing w:line="360" w:lineRule="auto"/>
        <w:rPr>
          <w:rFonts w:ascii="宋体" w:eastAsia="宋体" w:hAnsi="宋体" w:cs="Times New Roman"/>
          <w:sz w:val="24"/>
          <w:szCs w:val="24"/>
        </w:rPr>
      </w:pPr>
      <w:r>
        <w:rPr>
          <w:rFonts w:ascii="宋体" w:eastAsia="宋体" w:hAnsi="宋体" w:cs="Times New Roman"/>
          <w:sz w:val="24"/>
          <w:szCs w:val="24"/>
        </w:rPr>
        <w:t>附件：商品质量抽检结果名单</w:t>
      </w:r>
    </w:p>
    <w:p w:rsidR="00546E16" w:rsidRDefault="00546E16">
      <w:pPr>
        <w:spacing w:line="360" w:lineRule="auto"/>
        <w:rPr>
          <w:rFonts w:ascii="宋体" w:eastAsia="宋体" w:hAnsi="宋体" w:cs="Times New Roman"/>
          <w:sz w:val="24"/>
          <w:szCs w:val="24"/>
        </w:rPr>
      </w:pPr>
    </w:p>
    <w:p w:rsidR="00546E16" w:rsidRDefault="00546E16">
      <w:pPr>
        <w:spacing w:line="360" w:lineRule="auto"/>
        <w:rPr>
          <w:rFonts w:ascii="宋体" w:eastAsia="宋体" w:hAnsi="宋体" w:cs="Times New Roman"/>
          <w:sz w:val="24"/>
          <w:szCs w:val="24"/>
        </w:rPr>
      </w:pPr>
    </w:p>
    <w:p w:rsidR="00546E16" w:rsidRDefault="00546E16">
      <w:pPr>
        <w:spacing w:line="360" w:lineRule="auto"/>
        <w:rPr>
          <w:rFonts w:ascii="宋体" w:eastAsia="宋体" w:hAnsi="宋体" w:cs="Times New Roman"/>
          <w:sz w:val="24"/>
          <w:szCs w:val="24"/>
        </w:rPr>
      </w:pPr>
    </w:p>
    <w:p w:rsidR="00546E16" w:rsidRDefault="00546E16">
      <w:pPr>
        <w:spacing w:line="360" w:lineRule="auto"/>
        <w:rPr>
          <w:rFonts w:ascii="宋体" w:eastAsia="宋体" w:hAnsi="宋体" w:cs="Times New Roman"/>
          <w:sz w:val="24"/>
          <w:szCs w:val="24"/>
        </w:rPr>
      </w:pPr>
    </w:p>
    <w:p w:rsidR="00546E16" w:rsidRDefault="006C5A0E">
      <w:pPr>
        <w:rPr>
          <w:rFonts w:asciiTheme="majorEastAsia" w:eastAsiaTheme="majorEastAsia" w:hAnsiTheme="majorEastAsia" w:cstheme="majorEastAsia"/>
          <w:b/>
          <w:bCs/>
          <w:spacing w:val="4"/>
          <w:sz w:val="28"/>
          <w:szCs w:val="28"/>
        </w:rPr>
        <w:sectPr w:rsidR="00546E16">
          <w:footerReference w:type="default" r:id="rId13"/>
          <w:footerReference w:type="first" r:id="rId14"/>
          <w:pgSz w:w="11906" w:h="16838"/>
          <w:pgMar w:top="1134" w:right="1701" w:bottom="1134" w:left="1701" w:header="567" w:footer="850" w:gutter="0"/>
          <w:pgNumType w:start="0"/>
          <w:cols w:space="425"/>
          <w:titlePg/>
          <w:docGrid w:type="lines" w:linePitch="312"/>
        </w:sectPr>
      </w:pPr>
      <w:r>
        <w:rPr>
          <w:rFonts w:ascii="仿宋_GB2312" w:eastAsia="仿宋_GB2312" w:hAnsi="宋体" w:hint="eastAsia"/>
          <w:b/>
          <w:bCs/>
          <w:spacing w:val="4"/>
          <w:sz w:val="28"/>
          <w:szCs w:val="28"/>
        </w:rPr>
        <w:t xml:space="preserve">                           </w:t>
      </w:r>
    </w:p>
    <w:tbl>
      <w:tblPr>
        <w:tblW w:w="8480" w:type="dxa"/>
        <w:tblLayout w:type="fixed"/>
        <w:tblCellMar>
          <w:left w:w="0" w:type="dxa"/>
          <w:right w:w="0" w:type="dxa"/>
        </w:tblCellMar>
        <w:tblLook w:val="04A0"/>
      </w:tblPr>
      <w:tblGrid>
        <w:gridCol w:w="781"/>
        <w:gridCol w:w="1746"/>
        <w:gridCol w:w="1656"/>
        <w:gridCol w:w="1010"/>
        <w:gridCol w:w="1904"/>
        <w:gridCol w:w="1383"/>
      </w:tblGrid>
      <w:tr w:rsidR="00546E16">
        <w:trPr>
          <w:trHeight w:val="340"/>
        </w:trPr>
        <w:tc>
          <w:tcPr>
            <w:tcW w:w="8480" w:type="dxa"/>
            <w:gridSpan w:val="6"/>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b/>
                <w:color w:val="000000"/>
                <w:sz w:val="32"/>
                <w:szCs w:val="32"/>
              </w:rPr>
            </w:pPr>
            <w:r>
              <w:rPr>
                <w:rFonts w:ascii="宋体" w:eastAsia="宋体" w:hAnsi="宋体" w:cs="宋体" w:hint="eastAsia"/>
                <w:b/>
                <w:color w:val="000000"/>
                <w:kern w:val="0"/>
                <w:sz w:val="32"/>
                <w:szCs w:val="32"/>
              </w:rPr>
              <w:lastRenderedPageBreak/>
              <w:t>龙岩市市场监督管理局</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序号</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样品编号</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样品名称</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标称商标</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受检单位</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Arial" w:hAnsi="Arial" w:cs="Arial"/>
                <w:b/>
                <w:color w:val="000000"/>
                <w:sz w:val="24"/>
                <w:szCs w:val="24"/>
              </w:rPr>
            </w:pPr>
            <w:r>
              <w:rPr>
                <w:rFonts w:ascii="Arial" w:eastAsia="宋体" w:hAnsi="Arial" w:cs="Arial"/>
                <w:b/>
                <w:color w:val="000000"/>
                <w:kern w:val="0"/>
                <w:sz w:val="24"/>
                <w:szCs w:val="24"/>
              </w:rPr>
              <w:t>检验结果</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20201023190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速零</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永定区万友消防器材经营部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20201023191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速零</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永定区万友消防器材经营部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3</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20201023212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金安</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上杭</w:t>
            </w:r>
            <w:proofErr w:type="gramStart"/>
            <w:r>
              <w:rPr>
                <w:rFonts w:ascii="宋体" w:eastAsia="宋体" w:hAnsi="宋体" w:cs="宋体" w:hint="eastAsia"/>
                <w:color w:val="000000"/>
                <w:kern w:val="0"/>
                <w:sz w:val="20"/>
                <w:szCs w:val="20"/>
              </w:rPr>
              <w:t>县金杭消防器材</w:t>
            </w:r>
            <w:proofErr w:type="gramEnd"/>
            <w:r>
              <w:rPr>
                <w:rFonts w:ascii="宋体" w:eastAsia="宋体" w:hAnsi="宋体" w:cs="宋体" w:hint="eastAsia"/>
                <w:color w:val="000000"/>
                <w:kern w:val="0"/>
                <w:sz w:val="20"/>
                <w:szCs w:val="20"/>
              </w:rPr>
              <w:t>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4</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20201023213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鸣宇</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上杭</w:t>
            </w:r>
            <w:proofErr w:type="gramStart"/>
            <w:r>
              <w:rPr>
                <w:rFonts w:ascii="宋体" w:eastAsia="宋体" w:hAnsi="宋体" w:cs="宋体" w:hint="eastAsia"/>
                <w:color w:val="000000"/>
                <w:kern w:val="0"/>
                <w:sz w:val="20"/>
                <w:szCs w:val="20"/>
              </w:rPr>
              <w:t>县金杭消防器材</w:t>
            </w:r>
            <w:proofErr w:type="gramEnd"/>
            <w:r>
              <w:rPr>
                <w:rFonts w:ascii="宋体" w:eastAsia="宋体" w:hAnsi="宋体" w:cs="宋体" w:hint="eastAsia"/>
                <w:color w:val="000000"/>
                <w:kern w:val="0"/>
                <w:sz w:val="20"/>
                <w:szCs w:val="20"/>
              </w:rPr>
              <w:t>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5</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20201023214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速零</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长汀县大同镇</w:t>
            </w:r>
            <w:proofErr w:type="gramStart"/>
            <w:r>
              <w:rPr>
                <w:rFonts w:ascii="宋体" w:eastAsia="宋体" w:hAnsi="宋体" w:cs="宋体" w:hint="eastAsia"/>
                <w:color w:val="000000"/>
                <w:kern w:val="0"/>
                <w:sz w:val="20"/>
                <w:szCs w:val="20"/>
              </w:rPr>
              <w:t>汀</w:t>
            </w:r>
            <w:proofErr w:type="gramEnd"/>
            <w:r>
              <w:rPr>
                <w:rFonts w:ascii="宋体" w:eastAsia="宋体" w:hAnsi="宋体" w:cs="宋体" w:hint="eastAsia"/>
                <w:color w:val="000000"/>
                <w:kern w:val="0"/>
                <w:sz w:val="20"/>
                <w:szCs w:val="20"/>
              </w:rPr>
              <w:t>安消防器材经营部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6</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20201023215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速零</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长汀县大同镇</w:t>
            </w:r>
            <w:proofErr w:type="gramStart"/>
            <w:r>
              <w:rPr>
                <w:rFonts w:ascii="宋体" w:eastAsia="宋体" w:hAnsi="宋体" w:cs="宋体" w:hint="eastAsia"/>
                <w:color w:val="000000"/>
                <w:kern w:val="0"/>
                <w:sz w:val="20"/>
                <w:szCs w:val="20"/>
              </w:rPr>
              <w:t>汀</w:t>
            </w:r>
            <w:proofErr w:type="gramEnd"/>
            <w:r>
              <w:rPr>
                <w:rFonts w:ascii="宋体" w:eastAsia="宋体" w:hAnsi="宋体" w:cs="宋体" w:hint="eastAsia"/>
                <w:color w:val="000000"/>
                <w:kern w:val="0"/>
                <w:sz w:val="20"/>
                <w:szCs w:val="20"/>
              </w:rPr>
              <w:t>安消防器材经营部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7</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20201023236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速零</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龙岩市欣福安消防设备有限公司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8</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20201023237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涤纶有衬里水带</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鑫祥</w:t>
            </w:r>
            <w:proofErr w:type="gramEnd"/>
            <w:r>
              <w:rPr>
                <w:rFonts w:ascii="宋体" w:eastAsia="宋体" w:hAnsi="宋体" w:cs="宋体" w:hint="eastAsia"/>
                <w:color w:val="000000"/>
                <w:kern w:val="0"/>
                <w:sz w:val="20"/>
                <w:szCs w:val="20"/>
              </w:rPr>
              <w:t>龙</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龙岩市欣福安消防设备有限公司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9</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20201023238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546E16">
            <w:pPr>
              <w:jc w:val="center"/>
              <w:rPr>
                <w:rFonts w:ascii="宋体" w:eastAsia="宋体" w:hAnsi="宋体" w:cs="宋体"/>
                <w:color w:val="000000"/>
                <w:sz w:val="20"/>
                <w:szCs w:val="20"/>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龙岩市欣福安消防设备有限公司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10</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20201023239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鸣宇</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新罗区沃特斯阀门经营部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11</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20201023240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有衬里消防水带</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金扇</w:t>
            </w:r>
            <w:proofErr w:type="gramEnd"/>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新罗区沃特斯阀门经营部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12</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20201023241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546E16">
            <w:pPr>
              <w:jc w:val="center"/>
              <w:rPr>
                <w:rFonts w:ascii="宋体" w:eastAsia="宋体" w:hAnsi="宋体" w:cs="宋体"/>
                <w:color w:val="000000"/>
                <w:sz w:val="20"/>
                <w:szCs w:val="20"/>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新罗区沃特斯阀门经营部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13</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20201023242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手提式干粉灭火器</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閩山</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龙岩市明安建材贸易有限公司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14</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20201023243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546E16">
            <w:pPr>
              <w:jc w:val="center"/>
              <w:rPr>
                <w:rFonts w:ascii="宋体" w:eastAsia="宋体" w:hAnsi="宋体" w:cs="宋体"/>
                <w:color w:val="000000"/>
                <w:sz w:val="20"/>
                <w:szCs w:val="20"/>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龙岩市明安建材贸易有限公司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15</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20201023274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有衬里消防水带</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天广</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漳平市顺安消防劳保用品经营部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16</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20201023275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天广</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漳平市顺安消防劳保用品经营部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17</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20201023286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546E16">
            <w:pPr>
              <w:jc w:val="center"/>
              <w:rPr>
                <w:rFonts w:ascii="宋体" w:eastAsia="宋体" w:hAnsi="宋体" w:cs="宋体"/>
                <w:color w:val="000000"/>
                <w:sz w:val="20"/>
                <w:szCs w:val="20"/>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武平县平安消防器材服务部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18</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20201023287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涤纶有衬里水带</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鑫祥</w:t>
            </w:r>
            <w:proofErr w:type="gramEnd"/>
            <w:r>
              <w:rPr>
                <w:rFonts w:ascii="宋体" w:eastAsia="宋体" w:hAnsi="宋体" w:cs="宋体" w:hint="eastAsia"/>
                <w:color w:val="000000"/>
                <w:kern w:val="0"/>
                <w:sz w:val="20"/>
                <w:szCs w:val="20"/>
              </w:rPr>
              <w:t>龙</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武平县平安消防器材服务部</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19</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20201023317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直流水枪</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546E16">
            <w:pPr>
              <w:jc w:val="center"/>
              <w:rPr>
                <w:rFonts w:ascii="宋体" w:eastAsia="宋体" w:hAnsi="宋体" w:cs="宋体"/>
                <w:color w:val="000000"/>
                <w:sz w:val="20"/>
                <w:szCs w:val="20"/>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连城县莲峰阿</w:t>
            </w:r>
            <w:proofErr w:type="gramStart"/>
            <w:r>
              <w:rPr>
                <w:rFonts w:ascii="宋体" w:eastAsia="宋体" w:hAnsi="宋体" w:cs="宋体" w:hint="eastAsia"/>
                <w:color w:val="000000"/>
                <w:kern w:val="0"/>
                <w:sz w:val="20"/>
                <w:szCs w:val="20"/>
              </w:rPr>
              <w:t>郭</w:t>
            </w:r>
            <w:proofErr w:type="gramEnd"/>
            <w:r>
              <w:rPr>
                <w:rFonts w:ascii="宋体" w:eastAsia="宋体" w:hAnsi="宋体" w:cs="宋体" w:hint="eastAsia"/>
                <w:color w:val="000000"/>
                <w:kern w:val="0"/>
                <w:sz w:val="20"/>
                <w:szCs w:val="20"/>
              </w:rPr>
              <w:t>消防器材供应处</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r w:rsidR="00546E16">
        <w:trPr>
          <w:trHeight w:val="340"/>
        </w:trPr>
        <w:tc>
          <w:tcPr>
            <w:tcW w:w="7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20</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20201023318 </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涤纶有衬里水带</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rPr>
              <w:t>祥</w:t>
            </w:r>
            <w:proofErr w:type="gramEnd"/>
            <w:r>
              <w:rPr>
                <w:rFonts w:ascii="宋体" w:eastAsia="宋体" w:hAnsi="宋体" w:cs="宋体" w:hint="eastAsia"/>
                <w:color w:val="000000"/>
                <w:kern w:val="0"/>
                <w:sz w:val="20"/>
                <w:szCs w:val="20"/>
              </w:rPr>
              <w:t>龙</w:t>
            </w:r>
          </w:p>
        </w:tc>
        <w:tc>
          <w:tcPr>
            <w:tcW w:w="19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连城县莲峰阿</w:t>
            </w:r>
            <w:proofErr w:type="gramStart"/>
            <w:r>
              <w:rPr>
                <w:rFonts w:ascii="宋体" w:eastAsia="宋体" w:hAnsi="宋体" w:cs="宋体" w:hint="eastAsia"/>
                <w:color w:val="000000"/>
                <w:kern w:val="0"/>
                <w:sz w:val="20"/>
                <w:szCs w:val="20"/>
              </w:rPr>
              <w:t>郭</w:t>
            </w:r>
            <w:proofErr w:type="gramEnd"/>
            <w:r>
              <w:rPr>
                <w:rFonts w:ascii="宋体" w:eastAsia="宋体" w:hAnsi="宋体" w:cs="宋体" w:hint="eastAsia"/>
                <w:color w:val="000000"/>
                <w:kern w:val="0"/>
                <w:sz w:val="20"/>
                <w:szCs w:val="20"/>
              </w:rPr>
              <w:t>消防器材供应处</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46E16" w:rsidRDefault="006C5A0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合格</w:t>
            </w:r>
          </w:p>
        </w:tc>
      </w:tr>
    </w:tbl>
    <w:p w:rsidR="00546E16" w:rsidRDefault="00546E16">
      <w:pPr>
        <w:spacing w:line="360" w:lineRule="auto"/>
        <w:rPr>
          <w:rFonts w:asciiTheme="minorEastAsia" w:hAnsiTheme="minorEastAsia"/>
          <w:sz w:val="30"/>
          <w:szCs w:val="30"/>
        </w:rPr>
      </w:pPr>
    </w:p>
    <w:sectPr w:rsidR="00546E16" w:rsidSect="00546E16">
      <w:pgSz w:w="11906" w:h="16838"/>
      <w:pgMar w:top="1134" w:right="1701" w:bottom="1134" w:left="1701" w:header="567" w:footer="85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93C" w:rsidRDefault="00E8593C" w:rsidP="00546E16">
      <w:r>
        <w:separator/>
      </w:r>
    </w:p>
  </w:endnote>
  <w:endnote w:type="continuationSeparator" w:id="0">
    <w:p w:rsidR="00E8593C" w:rsidRDefault="00E8593C" w:rsidP="00546E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604965"/>
    </w:sdtPr>
    <w:sdtEndPr>
      <w:rPr>
        <w:rFonts w:ascii="Times New Roman" w:hAnsi="Times New Roman" w:cs="Times New Roman"/>
        <w:sz w:val="20"/>
      </w:rPr>
    </w:sdtEndPr>
    <w:sdtContent>
      <w:p w:rsidR="00546E16" w:rsidRDefault="002A5712">
        <w:pPr>
          <w:pStyle w:val="a7"/>
          <w:jc w:val="center"/>
          <w:rPr>
            <w:rFonts w:ascii="Times New Roman" w:hAnsi="Times New Roman" w:cs="Times New Roman"/>
            <w:sz w:val="20"/>
          </w:rPr>
        </w:pPr>
        <w:r>
          <w:rPr>
            <w:rFonts w:ascii="Times New Roman" w:hAnsi="Times New Roman" w:cs="Times New Roman"/>
            <w:sz w:val="20"/>
          </w:rPr>
          <w:fldChar w:fldCharType="begin"/>
        </w:r>
        <w:r w:rsidR="006C5A0E">
          <w:rPr>
            <w:rFonts w:ascii="Times New Roman" w:hAnsi="Times New Roman" w:cs="Times New Roman"/>
            <w:sz w:val="20"/>
          </w:rPr>
          <w:instrText>PAGE   \* MERGEFORMAT</w:instrText>
        </w:r>
        <w:r>
          <w:rPr>
            <w:rFonts w:ascii="Times New Roman" w:hAnsi="Times New Roman" w:cs="Times New Roman"/>
            <w:sz w:val="20"/>
          </w:rPr>
          <w:fldChar w:fldCharType="separate"/>
        </w:r>
        <w:r w:rsidR="00F817AF" w:rsidRPr="00F817AF">
          <w:rPr>
            <w:rFonts w:ascii="Times New Roman" w:hAnsi="Times New Roman" w:cs="Times New Roman"/>
            <w:noProof/>
            <w:sz w:val="20"/>
            <w:lang w:val="zh-CN"/>
          </w:rPr>
          <w:t>4</w:t>
        </w:r>
        <w:r>
          <w:rPr>
            <w:rFonts w:ascii="Times New Roman" w:hAnsi="Times New Roman" w:cs="Times New Roman"/>
            <w:sz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16" w:rsidRDefault="00546E16">
    <w:pPr>
      <w:pStyle w:val="a7"/>
      <w:jc w:val="center"/>
      <w:rPr>
        <w:rFonts w:ascii="Times New Roman" w:hAnsi="Times New Roman" w:cs="Times New Roman"/>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93C" w:rsidRDefault="00E8593C" w:rsidP="00546E16">
      <w:r>
        <w:separator/>
      </w:r>
    </w:p>
  </w:footnote>
  <w:footnote w:type="continuationSeparator" w:id="0">
    <w:p w:rsidR="00E8593C" w:rsidRDefault="00E8593C" w:rsidP="00546E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EB47F1E"/>
    <w:multiLevelType w:val="singleLevel"/>
    <w:tmpl w:val="EEB47F1E"/>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377BE8"/>
    <w:rsid w:val="000056AE"/>
    <w:rsid w:val="000156AD"/>
    <w:rsid w:val="00021311"/>
    <w:rsid w:val="00021D09"/>
    <w:rsid w:val="00024F47"/>
    <w:rsid w:val="00030957"/>
    <w:rsid w:val="000359F1"/>
    <w:rsid w:val="00051710"/>
    <w:rsid w:val="0005766A"/>
    <w:rsid w:val="00060A30"/>
    <w:rsid w:val="0007651B"/>
    <w:rsid w:val="00097478"/>
    <w:rsid w:val="00097888"/>
    <w:rsid w:val="00097A25"/>
    <w:rsid w:val="000D788D"/>
    <w:rsid w:val="000D7C10"/>
    <w:rsid w:val="000E0891"/>
    <w:rsid w:val="000E672D"/>
    <w:rsid w:val="000F275C"/>
    <w:rsid w:val="000F7473"/>
    <w:rsid w:val="00112F5E"/>
    <w:rsid w:val="001230D9"/>
    <w:rsid w:val="00130A0A"/>
    <w:rsid w:val="00130F14"/>
    <w:rsid w:val="001351CC"/>
    <w:rsid w:val="0013682F"/>
    <w:rsid w:val="00136899"/>
    <w:rsid w:val="00145506"/>
    <w:rsid w:val="001503FF"/>
    <w:rsid w:val="00154693"/>
    <w:rsid w:val="00157C39"/>
    <w:rsid w:val="0016466D"/>
    <w:rsid w:val="00171597"/>
    <w:rsid w:val="0017334A"/>
    <w:rsid w:val="00186D2B"/>
    <w:rsid w:val="001A3073"/>
    <w:rsid w:val="001C227A"/>
    <w:rsid w:val="001D06F6"/>
    <w:rsid w:val="001D3599"/>
    <w:rsid w:val="001E6BAD"/>
    <w:rsid w:val="001E7433"/>
    <w:rsid w:val="001F01CA"/>
    <w:rsid w:val="001F50EC"/>
    <w:rsid w:val="001F64C9"/>
    <w:rsid w:val="002035E1"/>
    <w:rsid w:val="00203DC7"/>
    <w:rsid w:val="0021272C"/>
    <w:rsid w:val="00214C00"/>
    <w:rsid w:val="00216273"/>
    <w:rsid w:val="00217964"/>
    <w:rsid w:val="00227DD2"/>
    <w:rsid w:val="00256DE3"/>
    <w:rsid w:val="00257FDD"/>
    <w:rsid w:val="0027094A"/>
    <w:rsid w:val="0027433E"/>
    <w:rsid w:val="002A5712"/>
    <w:rsid w:val="002A6095"/>
    <w:rsid w:val="002A72BB"/>
    <w:rsid w:val="002C0229"/>
    <w:rsid w:val="002C4D99"/>
    <w:rsid w:val="002C73DD"/>
    <w:rsid w:val="002D5448"/>
    <w:rsid w:val="002E65C0"/>
    <w:rsid w:val="002F1CC2"/>
    <w:rsid w:val="00300C15"/>
    <w:rsid w:val="00306858"/>
    <w:rsid w:val="00312C16"/>
    <w:rsid w:val="003152D5"/>
    <w:rsid w:val="00325B1D"/>
    <w:rsid w:val="00332DFE"/>
    <w:rsid w:val="003462E4"/>
    <w:rsid w:val="003472E1"/>
    <w:rsid w:val="00350161"/>
    <w:rsid w:val="0037252D"/>
    <w:rsid w:val="00375475"/>
    <w:rsid w:val="00377BE8"/>
    <w:rsid w:val="0038262A"/>
    <w:rsid w:val="00382E9F"/>
    <w:rsid w:val="003906CE"/>
    <w:rsid w:val="00392E2D"/>
    <w:rsid w:val="003A3BE9"/>
    <w:rsid w:val="003A404F"/>
    <w:rsid w:val="003A5C91"/>
    <w:rsid w:val="003B686B"/>
    <w:rsid w:val="003C06D2"/>
    <w:rsid w:val="003C1E8D"/>
    <w:rsid w:val="003C6074"/>
    <w:rsid w:val="003C616A"/>
    <w:rsid w:val="003D166F"/>
    <w:rsid w:val="003E25F9"/>
    <w:rsid w:val="0040383F"/>
    <w:rsid w:val="00404694"/>
    <w:rsid w:val="00405259"/>
    <w:rsid w:val="00406F70"/>
    <w:rsid w:val="004072EC"/>
    <w:rsid w:val="00411F6C"/>
    <w:rsid w:val="004366E6"/>
    <w:rsid w:val="00445623"/>
    <w:rsid w:val="004456A5"/>
    <w:rsid w:val="004459B9"/>
    <w:rsid w:val="00451D68"/>
    <w:rsid w:val="00452B51"/>
    <w:rsid w:val="00452E1B"/>
    <w:rsid w:val="0046095D"/>
    <w:rsid w:val="00463847"/>
    <w:rsid w:val="00482A6A"/>
    <w:rsid w:val="0048477B"/>
    <w:rsid w:val="004855DD"/>
    <w:rsid w:val="00491CBD"/>
    <w:rsid w:val="00493CB6"/>
    <w:rsid w:val="004A1754"/>
    <w:rsid w:val="004A50C5"/>
    <w:rsid w:val="004A5BB8"/>
    <w:rsid w:val="004A5D33"/>
    <w:rsid w:val="004A6C6E"/>
    <w:rsid w:val="004B63E1"/>
    <w:rsid w:val="004B6DB5"/>
    <w:rsid w:val="004C480F"/>
    <w:rsid w:val="004D33C9"/>
    <w:rsid w:val="004E1EA8"/>
    <w:rsid w:val="004F17AB"/>
    <w:rsid w:val="005018E5"/>
    <w:rsid w:val="00507606"/>
    <w:rsid w:val="00514B97"/>
    <w:rsid w:val="00514F76"/>
    <w:rsid w:val="00516273"/>
    <w:rsid w:val="00537FAE"/>
    <w:rsid w:val="00546E16"/>
    <w:rsid w:val="00547E60"/>
    <w:rsid w:val="00552A4F"/>
    <w:rsid w:val="00553472"/>
    <w:rsid w:val="00555232"/>
    <w:rsid w:val="00555810"/>
    <w:rsid w:val="005577C2"/>
    <w:rsid w:val="005601E4"/>
    <w:rsid w:val="00564F50"/>
    <w:rsid w:val="00583329"/>
    <w:rsid w:val="00587121"/>
    <w:rsid w:val="005A20FB"/>
    <w:rsid w:val="005B1086"/>
    <w:rsid w:val="005B6532"/>
    <w:rsid w:val="005B754A"/>
    <w:rsid w:val="005D6BB5"/>
    <w:rsid w:val="005D7690"/>
    <w:rsid w:val="005E0B76"/>
    <w:rsid w:val="005E44DA"/>
    <w:rsid w:val="00610A4C"/>
    <w:rsid w:val="0062526B"/>
    <w:rsid w:val="00641AB8"/>
    <w:rsid w:val="00646665"/>
    <w:rsid w:val="006610C9"/>
    <w:rsid w:val="00680101"/>
    <w:rsid w:val="00680834"/>
    <w:rsid w:val="00682906"/>
    <w:rsid w:val="006A2EC3"/>
    <w:rsid w:val="006A53F8"/>
    <w:rsid w:val="006C5006"/>
    <w:rsid w:val="006C5A0E"/>
    <w:rsid w:val="006D020F"/>
    <w:rsid w:val="006D17EF"/>
    <w:rsid w:val="006D18D9"/>
    <w:rsid w:val="006E7C69"/>
    <w:rsid w:val="006F1E02"/>
    <w:rsid w:val="006F270B"/>
    <w:rsid w:val="006F2F15"/>
    <w:rsid w:val="00702F9E"/>
    <w:rsid w:val="0071246F"/>
    <w:rsid w:val="00713429"/>
    <w:rsid w:val="00715533"/>
    <w:rsid w:val="007223F2"/>
    <w:rsid w:val="007244A6"/>
    <w:rsid w:val="0072490A"/>
    <w:rsid w:val="007269A2"/>
    <w:rsid w:val="007355CD"/>
    <w:rsid w:val="00736734"/>
    <w:rsid w:val="00747F41"/>
    <w:rsid w:val="00750BF6"/>
    <w:rsid w:val="007512EF"/>
    <w:rsid w:val="007520F5"/>
    <w:rsid w:val="007622A9"/>
    <w:rsid w:val="00762533"/>
    <w:rsid w:val="00763935"/>
    <w:rsid w:val="00771E13"/>
    <w:rsid w:val="00771F56"/>
    <w:rsid w:val="00773558"/>
    <w:rsid w:val="007767E3"/>
    <w:rsid w:val="00781355"/>
    <w:rsid w:val="0078437D"/>
    <w:rsid w:val="00787297"/>
    <w:rsid w:val="0079491A"/>
    <w:rsid w:val="007B2DB8"/>
    <w:rsid w:val="007C36B9"/>
    <w:rsid w:val="007C396A"/>
    <w:rsid w:val="007D7CE3"/>
    <w:rsid w:val="007E5226"/>
    <w:rsid w:val="007F35E6"/>
    <w:rsid w:val="007F782B"/>
    <w:rsid w:val="008053D9"/>
    <w:rsid w:val="0081484E"/>
    <w:rsid w:val="00814D05"/>
    <w:rsid w:val="00825A83"/>
    <w:rsid w:val="0083361B"/>
    <w:rsid w:val="00840F73"/>
    <w:rsid w:val="008446CE"/>
    <w:rsid w:val="0085614D"/>
    <w:rsid w:val="008579FB"/>
    <w:rsid w:val="008612D6"/>
    <w:rsid w:val="008651CD"/>
    <w:rsid w:val="00867594"/>
    <w:rsid w:val="008805C6"/>
    <w:rsid w:val="00884295"/>
    <w:rsid w:val="008966D8"/>
    <w:rsid w:val="00896810"/>
    <w:rsid w:val="008A42F8"/>
    <w:rsid w:val="008B43EC"/>
    <w:rsid w:val="008B4FAC"/>
    <w:rsid w:val="008C400D"/>
    <w:rsid w:val="008D4701"/>
    <w:rsid w:val="008E58D8"/>
    <w:rsid w:val="0090537D"/>
    <w:rsid w:val="00913613"/>
    <w:rsid w:val="00913936"/>
    <w:rsid w:val="00914CEA"/>
    <w:rsid w:val="0092467A"/>
    <w:rsid w:val="00924BD8"/>
    <w:rsid w:val="009315B1"/>
    <w:rsid w:val="00935919"/>
    <w:rsid w:val="00937DBE"/>
    <w:rsid w:val="00945C8B"/>
    <w:rsid w:val="009501D4"/>
    <w:rsid w:val="0095653E"/>
    <w:rsid w:val="0095714E"/>
    <w:rsid w:val="00961828"/>
    <w:rsid w:val="00966A4E"/>
    <w:rsid w:val="009715E7"/>
    <w:rsid w:val="009766A2"/>
    <w:rsid w:val="00981FAE"/>
    <w:rsid w:val="009848A5"/>
    <w:rsid w:val="00995D14"/>
    <w:rsid w:val="00995D93"/>
    <w:rsid w:val="00997CE8"/>
    <w:rsid w:val="009B1D06"/>
    <w:rsid w:val="009B462A"/>
    <w:rsid w:val="009B6C90"/>
    <w:rsid w:val="009D3937"/>
    <w:rsid w:val="009D55FD"/>
    <w:rsid w:val="009D6A99"/>
    <w:rsid w:val="009D7967"/>
    <w:rsid w:val="00A1023D"/>
    <w:rsid w:val="00A1297A"/>
    <w:rsid w:val="00A139EE"/>
    <w:rsid w:val="00A30B4F"/>
    <w:rsid w:val="00A36348"/>
    <w:rsid w:val="00A413DB"/>
    <w:rsid w:val="00A43C83"/>
    <w:rsid w:val="00A473CA"/>
    <w:rsid w:val="00A5125A"/>
    <w:rsid w:val="00A54079"/>
    <w:rsid w:val="00A54F4D"/>
    <w:rsid w:val="00A55A97"/>
    <w:rsid w:val="00A66B5B"/>
    <w:rsid w:val="00A723F1"/>
    <w:rsid w:val="00A7384C"/>
    <w:rsid w:val="00A87CCB"/>
    <w:rsid w:val="00A9626B"/>
    <w:rsid w:val="00AA3859"/>
    <w:rsid w:val="00AB2935"/>
    <w:rsid w:val="00AB42EA"/>
    <w:rsid w:val="00AB586D"/>
    <w:rsid w:val="00AC7963"/>
    <w:rsid w:val="00AE356A"/>
    <w:rsid w:val="00AE5B30"/>
    <w:rsid w:val="00AE6978"/>
    <w:rsid w:val="00AF484B"/>
    <w:rsid w:val="00B13446"/>
    <w:rsid w:val="00B51F4A"/>
    <w:rsid w:val="00B53CAE"/>
    <w:rsid w:val="00B55EC0"/>
    <w:rsid w:val="00B568C7"/>
    <w:rsid w:val="00B735EF"/>
    <w:rsid w:val="00B7469D"/>
    <w:rsid w:val="00B77EEE"/>
    <w:rsid w:val="00B9396D"/>
    <w:rsid w:val="00B94F51"/>
    <w:rsid w:val="00B95666"/>
    <w:rsid w:val="00BA52FB"/>
    <w:rsid w:val="00BC506A"/>
    <w:rsid w:val="00BD2D86"/>
    <w:rsid w:val="00BD4A31"/>
    <w:rsid w:val="00BE1AEE"/>
    <w:rsid w:val="00BE2229"/>
    <w:rsid w:val="00BF0D78"/>
    <w:rsid w:val="00BF1C84"/>
    <w:rsid w:val="00BF5FED"/>
    <w:rsid w:val="00C04D7F"/>
    <w:rsid w:val="00C15906"/>
    <w:rsid w:val="00C263FA"/>
    <w:rsid w:val="00C27042"/>
    <w:rsid w:val="00C32E75"/>
    <w:rsid w:val="00C43FC4"/>
    <w:rsid w:val="00C564C9"/>
    <w:rsid w:val="00C74767"/>
    <w:rsid w:val="00C775DA"/>
    <w:rsid w:val="00C8305E"/>
    <w:rsid w:val="00C87ADC"/>
    <w:rsid w:val="00C96AE1"/>
    <w:rsid w:val="00CB2CCE"/>
    <w:rsid w:val="00CD4650"/>
    <w:rsid w:val="00CE43FB"/>
    <w:rsid w:val="00CE575D"/>
    <w:rsid w:val="00D272AB"/>
    <w:rsid w:val="00D36AFE"/>
    <w:rsid w:val="00D4071A"/>
    <w:rsid w:val="00D44E94"/>
    <w:rsid w:val="00D82FFB"/>
    <w:rsid w:val="00D96D3A"/>
    <w:rsid w:val="00D9766A"/>
    <w:rsid w:val="00DA3B4C"/>
    <w:rsid w:val="00DA4417"/>
    <w:rsid w:val="00DA5C20"/>
    <w:rsid w:val="00DB4DB6"/>
    <w:rsid w:val="00DC078A"/>
    <w:rsid w:val="00DC2E1A"/>
    <w:rsid w:val="00DC63D5"/>
    <w:rsid w:val="00DD441A"/>
    <w:rsid w:val="00DD5B67"/>
    <w:rsid w:val="00DD6C27"/>
    <w:rsid w:val="00DE7F01"/>
    <w:rsid w:val="00DF3C9F"/>
    <w:rsid w:val="00E1676E"/>
    <w:rsid w:val="00E172AD"/>
    <w:rsid w:val="00E1764D"/>
    <w:rsid w:val="00E35273"/>
    <w:rsid w:val="00E529A4"/>
    <w:rsid w:val="00E53A32"/>
    <w:rsid w:val="00E54CC2"/>
    <w:rsid w:val="00E623C5"/>
    <w:rsid w:val="00E8593C"/>
    <w:rsid w:val="00E93AD0"/>
    <w:rsid w:val="00EB531C"/>
    <w:rsid w:val="00EB5942"/>
    <w:rsid w:val="00EB597F"/>
    <w:rsid w:val="00EC4770"/>
    <w:rsid w:val="00ED16E0"/>
    <w:rsid w:val="00ED7219"/>
    <w:rsid w:val="00EE0165"/>
    <w:rsid w:val="00EE58D8"/>
    <w:rsid w:val="00EF2DCD"/>
    <w:rsid w:val="00EF724A"/>
    <w:rsid w:val="00F027B3"/>
    <w:rsid w:val="00F05E56"/>
    <w:rsid w:val="00F17D39"/>
    <w:rsid w:val="00F24261"/>
    <w:rsid w:val="00F57857"/>
    <w:rsid w:val="00F763A3"/>
    <w:rsid w:val="00F817AF"/>
    <w:rsid w:val="00F84EF2"/>
    <w:rsid w:val="00F93A1E"/>
    <w:rsid w:val="00F9449B"/>
    <w:rsid w:val="00FA080B"/>
    <w:rsid w:val="00FA1B13"/>
    <w:rsid w:val="00FB29F6"/>
    <w:rsid w:val="00FB2E9C"/>
    <w:rsid w:val="00FC0808"/>
    <w:rsid w:val="00FC0C03"/>
    <w:rsid w:val="00FD0957"/>
    <w:rsid w:val="00FD1297"/>
    <w:rsid w:val="00FD30DE"/>
    <w:rsid w:val="00FD35EF"/>
    <w:rsid w:val="00FE1DF3"/>
    <w:rsid w:val="00FE22C0"/>
    <w:rsid w:val="01870221"/>
    <w:rsid w:val="01B85AB2"/>
    <w:rsid w:val="01CE36CC"/>
    <w:rsid w:val="026E0171"/>
    <w:rsid w:val="02C92D31"/>
    <w:rsid w:val="0352559F"/>
    <w:rsid w:val="045263AE"/>
    <w:rsid w:val="04C3330D"/>
    <w:rsid w:val="04CA77B6"/>
    <w:rsid w:val="04CC545C"/>
    <w:rsid w:val="05CE7763"/>
    <w:rsid w:val="06933440"/>
    <w:rsid w:val="07DA42C7"/>
    <w:rsid w:val="07EA3171"/>
    <w:rsid w:val="08E866EB"/>
    <w:rsid w:val="0A3D2F0B"/>
    <w:rsid w:val="0B727430"/>
    <w:rsid w:val="0B7C4561"/>
    <w:rsid w:val="0C11018E"/>
    <w:rsid w:val="0E5A3E60"/>
    <w:rsid w:val="0F7A635A"/>
    <w:rsid w:val="10275BE3"/>
    <w:rsid w:val="1045530E"/>
    <w:rsid w:val="105E0A15"/>
    <w:rsid w:val="1158070A"/>
    <w:rsid w:val="12203F8F"/>
    <w:rsid w:val="138E57A2"/>
    <w:rsid w:val="13996A8C"/>
    <w:rsid w:val="14C73E1C"/>
    <w:rsid w:val="154E6B6D"/>
    <w:rsid w:val="15B15B80"/>
    <w:rsid w:val="164439EC"/>
    <w:rsid w:val="164C3923"/>
    <w:rsid w:val="17824A26"/>
    <w:rsid w:val="18B90CFF"/>
    <w:rsid w:val="19D075FA"/>
    <w:rsid w:val="1A08378E"/>
    <w:rsid w:val="1A9E0B6E"/>
    <w:rsid w:val="1B822BCE"/>
    <w:rsid w:val="1BB21F6E"/>
    <w:rsid w:val="1CBB6B50"/>
    <w:rsid w:val="1D047E0D"/>
    <w:rsid w:val="1D5C507C"/>
    <w:rsid w:val="1E1C0313"/>
    <w:rsid w:val="1ED13455"/>
    <w:rsid w:val="1F5217C1"/>
    <w:rsid w:val="21356142"/>
    <w:rsid w:val="217A4732"/>
    <w:rsid w:val="22A149D5"/>
    <w:rsid w:val="234C2DAD"/>
    <w:rsid w:val="24177C06"/>
    <w:rsid w:val="245328E0"/>
    <w:rsid w:val="24894C0C"/>
    <w:rsid w:val="254F0466"/>
    <w:rsid w:val="25B5114F"/>
    <w:rsid w:val="26125975"/>
    <w:rsid w:val="26C30DA7"/>
    <w:rsid w:val="28C60F84"/>
    <w:rsid w:val="2A9F68C2"/>
    <w:rsid w:val="2C331F80"/>
    <w:rsid w:val="2D275D82"/>
    <w:rsid w:val="2F08296F"/>
    <w:rsid w:val="2FB17C36"/>
    <w:rsid w:val="309C26A0"/>
    <w:rsid w:val="311717F1"/>
    <w:rsid w:val="32F00034"/>
    <w:rsid w:val="34C53B82"/>
    <w:rsid w:val="368524D0"/>
    <w:rsid w:val="373A5E08"/>
    <w:rsid w:val="377E07CB"/>
    <w:rsid w:val="37851916"/>
    <w:rsid w:val="388D0F0E"/>
    <w:rsid w:val="392653E4"/>
    <w:rsid w:val="398E2332"/>
    <w:rsid w:val="39C36FD4"/>
    <w:rsid w:val="39C77388"/>
    <w:rsid w:val="39DD6971"/>
    <w:rsid w:val="3AA543A0"/>
    <w:rsid w:val="3B6304EC"/>
    <w:rsid w:val="3D8A10A6"/>
    <w:rsid w:val="3D8B6634"/>
    <w:rsid w:val="3DC706E9"/>
    <w:rsid w:val="3ED67DD1"/>
    <w:rsid w:val="3F366A97"/>
    <w:rsid w:val="3F565DAC"/>
    <w:rsid w:val="3F67539E"/>
    <w:rsid w:val="3FA316DC"/>
    <w:rsid w:val="401C5E30"/>
    <w:rsid w:val="40EE062D"/>
    <w:rsid w:val="43495F9C"/>
    <w:rsid w:val="443278EF"/>
    <w:rsid w:val="45D25B06"/>
    <w:rsid w:val="471C723A"/>
    <w:rsid w:val="474C40D6"/>
    <w:rsid w:val="474F4141"/>
    <w:rsid w:val="47B55E45"/>
    <w:rsid w:val="47C80303"/>
    <w:rsid w:val="48E6349B"/>
    <w:rsid w:val="48F57FB3"/>
    <w:rsid w:val="49015918"/>
    <w:rsid w:val="492A259C"/>
    <w:rsid w:val="496D3D3F"/>
    <w:rsid w:val="49D4781F"/>
    <w:rsid w:val="4B717C51"/>
    <w:rsid w:val="4CCB5239"/>
    <w:rsid w:val="4D577046"/>
    <w:rsid w:val="4F7C777B"/>
    <w:rsid w:val="5044100E"/>
    <w:rsid w:val="51D82D70"/>
    <w:rsid w:val="53464761"/>
    <w:rsid w:val="56826696"/>
    <w:rsid w:val="58243F69"/>
    <w:rsid w:val="59EE4613"/>
    <w:rsid w:val="5A4E3394"/>
    <w:rsid w:val="5A595E20"/>
    <w:rsid w:val="5A5F4977"/>
    <w:rsid w:val="5A945FE1"/>
    <w:rsid w:val="5C0E7F8D"/>
    <w:rsid w:val="5D2B0451"/>
    <w:rsid w:val="5DC95A84"/>
    <w:rsid w:val="5E3D1311"/>
    <w:rsid w:val="5E9F0C8F"/>
    <w:rsid w:val="5EA01D9D"/>
    <w:rsid w:val="5EA40A23"/>
    <w:rsid w:val="5F4B270A"/>
    <w:rsid w:val="62D02A26"/>
    <w:rsid w:val="63004BD0"/>
    <w:rsid w:val="656D674B"/>
    <w:rsid w:val="658314CB"/>
    <w:rsid w:val="65B84CA3"/>
    <w:rsid w:val="66842D71"/>
    <w:rsid w:val="66AF65DA"/>
    <w:rsid w:val="66EF53D6"/>
    <w:rsid w:val="67840BA3"/>
    <w:rsid w:val="67E320B6"/>
    <w:rsid w:val="686D755B"/>
    <w:rsid w:val="68804513"/>
    <w:rsid w:val="68917520"/>
    <w:rsid w:val="68ED2D4F"/>
    <w:rsid w:val="69A2662D"/>
    <w:rsid w:val="69D519B4"/>
    <w:rsid w:val="6D983628"/>
    <w:rsid w:val="6DDE4723"/>
    <w:rsid w:val="6E840BC9"/>
    <w:rsid w:val="6F8454D6"/>
    <w:rsid w:val="6F9C66A6"/>
    <w:rsid w:val="70A36645"/>
    <w:rsid w:val="72A33D26"/>
    <w:rsid w:val="73980B9B"/>
    <w:rsid w:val="743A15DE"/>
    <w:rsid w:val="745D4C60"/>
    <w:rsid w:val="757F3BE3"/>
    <w:rsid w:val="75E06877"/>
    <w:rsid w:val="766C18F8"/>
    <w:rsid w:val="7716161E"/>
    <w:rsid w:val="77FD530E"/>
    <w:rsid w:val="7AA120E9"/>
    <w:rsid w:val="7B302F5B"/>
    <w:rsid w:val="7DF6407D"/>
    <w:rsid w:val="7EA87936"/>
    <w:rsid w:val="7EF87B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Table" w:semiHidden="0" w:qFormat="1"/>
    <w:lsdException w:name="annotation subject"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qFormat="1"/>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qFormat="1"/>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qFormat="1"/>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qFormat="1"/>
    <w:lsdException w:name="Medium Grid 2 Accent 5" w:semiHidden="0" w:uiPriority="68" w:unhideWhenUsed="0"/>
    <w:lsdException w:name="Medium Grid 3 Accent 5" w:semiHidden="0" w:uiPriority="69" w:unhideWhenUsed="0" w:qFormat="1"/>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qFormat="1"/>
    <w:lsdException w:name="Light Shading Accent 6" w:semiHidden="0" w:uiPriority="60" w:unhideWhenUsed="0"/>
    <w:lsdException w:name="Light List Accent 6" w:semiHidden="0" w:uiPriority="61" w:unhideWhenUsed="0"/>
    <w:lsdException w:name="Light Grid Accent 6" w:semiHidden="0" w:uiPriority="62" w:unhideWhenUsed="0" w:qFormat="1"/>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E1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546E16"/>
    <w:rPr>
      <w:b/>
      <w:bCs/>
    </w:rPr>
  </w:style>
  <w:style w:type="paragraph" w:styleId="a4">
    <w:name w:val="annotation text"/>
    <w:basedOn w:val="a"/>
    <w:link w:val="Char0"/>
    <w:uiPriority w:val="99"/>
    <w:unhideWhenUsed/>
    <w:qFormat/>
    <w:rsid w:val="00546E16"/>
    <w:pPr>
      <w:jc w:val="left"/>
    </w:pPr>
  </w:style>
  <w:style w:type="paragraph" w:styleId="a5">
    <w:name w:val="Date"/>
    <w:basedOn w:val="a"/>
    <w:next w:val="a"/>
    <w:link w:val="Char1"/>
    <w:uiPriority w:val="99"/>
    <w:unhideWhenUsed/>
    <w:qFormat/>
    <w:rsid w:val="00546E16"/>
    <w:pPr>
      <w:ind w:leftChars="2500" w:left="100"/>
    </w:pPr>
  </w:style>
  <w:style w:type="paragraph" w:styleId="a6">
    <w:name w:val="Balloon Text"/>
    <w:basedOn w:val="a"/>
    <w:link w:val="Char2"/>
    <w:uiPriority w:val="99"/>
    <w:unhideWhenUsed/>
    <w:qFormat/>
    <w:rsid w:val="00546E16"/>
    <w:rPr>
      <w:sz w:val="18"/>
      <w:szCs w:val="18"/>
    </w:rPr>
  </w:style>
  <w:style w:type="paragraph" w:styleId="a7">
    <w:name w:val="footer"/>
    <w:basedOn w:val="a"/>
    <w:link w:val="Char3"/>
    <w:uiPriority w:val="99"/>
    <w:unhideWhenUsed/>
    <w:qFormat/>
    <w:rsid w:val="00546E16"/>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546E16"/>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unhideWhenUsed/>
    <w:qFormat/>
    <w:rsid w:val="00546E16"/>
    <w:rPr>
      <w:color w:val="800080"/>
      <w:u w:val="single"/>
    </w:rPr>
  </w:style>
  <w:style w:type="character" w:styleId="aa">
    <w:name w:val="Hyperlink"/>
    <w:basedOn w:val="a0"/>
    <w:uiPriority w:val="99"/>
    <w:unhideWhenUsed/>
    <w:qFormat/>
    <w:rsid w:val="00546E16"/>
    <w:rPr>
      <w:color w:val="0000FF"/>
      <w:u w:val="single"/>
    </w:rPr>
  </w:style>
  <w:style w:type="character" w:styleId="ab">
    <w:name w:val="annotation reference"/>
    <w:basedOn w:val="a0"/>
    <w:uiPriority w:val="99"/>
    <w:unhideWhenUsed/>
    <w:qFormat/>
    <w:rsid w:val="00546E16"/>
    <w:rPr>
      <w:sz w:val="21"/>
      <w:szCs w:val="21"/>
    </w:rPr>
  </w:style>
  <w:style w:type="table" w:styleId="ac">
    <w:name w:val="Table Grid"/>
    <w:basedOn w:val="a1"/>
    <w:uiPriority w:val="59"/>
    <w:qFormat/>
    <w:rsid w:val="00546E1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4">
    <w:name w:val="Light Shading Accent 4"/>
    <w:basedOn w:val="a1"/>
    <w:uiPriority w:val="60"/>
    <w:qFormat/>
    <w:rsid w:val="00546E16"/>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qFormat/>
    <w:rsid w:val="00546E16"/>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50">
    <w:name w:val="Light List Accent 5"/>
    <w:basedOn w:val="a1"/>
    <w:uiPriority w:val="61"/>
    <w:qFormat/>
    <w:rsid w:val="00546E16"/>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
    <w:name w:val="Light Grid Accent 6"/>
    <w:basedOn w:val="a1"/>
    <w:uiPriority w:val="62"/>
    <w:qFormat/>
    <w:rsid w:val="00546E16"/>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3">
    <w:name w:val="Medium Shading 1 Accent 3"/>
    <w:basedOn w:val="a1"/>
    <w:uiPriority w:val="63"/>
    <w:qFormat/>
    <w:rsid w:val="00546E16"/>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5">
    <w:name w:val="Medium Grid 1 Accent 5"/>
    <w:basedOn w:val="a1"/>
    <w:uiPriority w:val="67"/>
    <w:qFormat/>
    <w:rsid w:val="00546E16"/>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3-5">
    <w:name w:val="Medium Grid 3 Accent 5"/>
    <w:basedOn w:val="a1"/>
    <w:uiPriority w:val="69"/>
    <w:qFormat/>
    <w:rsid w:val="00546E16"/>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51">
    <w:name w:val="Colorful Grid Accent 5"/>
    <w:basedOn w:val="a1"/>
    <w:uiPriority w:val="73"/>
    <w:qFormat/>
    <w:rsid w:val="00546E16"/>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4">
    <w:name w:val="页眉 Char"/>
    <w:basedOn w:val="a0"/>
    <w:link w:val="a8"/>
    <w:uiPriority w:val="99"/>
    <w:qFormat/>
    <w:rsid w:val="00546E16"/>
    <w:rPr>
      <w:sz w:val="18"/>
      <w:szCs w:val="18"/>
    </w:rPr>
  </w:style>
  <w:style w:type="character" w:customStyle="1" w:styleId="Char3">
    <w:name w:val="页脚 Char"/>
    <w:basedOn w:val="a0"/>
    <w:link w:val="a7"/>
    <w:uiPriority w:val="99"/>
    <w:qFormat/>
    <w:rsid w:val="00546E16"/>
    <w:rPr>
      <w:sz w:val="18"/>
      <w:szCs w:val="18"/>
    </w:rPr>
  </w:style>
  <w:style w:type="paragraph" w:customStyle="1" w:styleId="1">
    <w:name w:val="列出段落1"/>
    <w:basedOn w:val="a"/>
    <w:uiPriority w:val="34"/>
    <w:qFormat/>
    <w:rsid w:val="00546E16"/>
    <w:pPr>
      <w:ind w:firstLineChars="200" w:firstLine="420"/>
    </w:pPr>
  </w:style>
  <w:style w:type="character" w:customStyle="1" w:styleId="Char2">
    <w:name w:val="批注框文本 Char"/>
    <w:basedOn w:val="a0"/>
    <w:link w:val="a6"/>
    <w:uiPriority w:val="99"/>
    <w:semiHidden/>
    <w:qFormat/>
    <w:rsid w:val="00546E16"/>
    <w:rPr>
      <w:sz w:val="18"/>
      <w:szCs w:val="18"/>
    </w:rPr>
  </w:style>
  <w:style w:type="paragraph" w:customStyle="1" w:styleId="font5">
    <w:name w:val="font5"/>
    <w:basedOn w:val="a"/>
    <w:qFormat/>
    <w:rsid w:val="00546E16"/>
    <w:pPr>
      <w:widowControl/>
      <w:spacing w:before="100" w:beforeAutospacing="1" w:after="100" w:afterAutospacing="1"/>
      <w:jc w:val="left"/>
    </w:pPr>
    <w:rPr>
      <w:rFonts w:ascii="Arial" w:eastAsia="宋体" w:hAnsi="Arial" w:cs="Arial"/>
      <w:kern w:val="0"/>
      <w:sz w:val="16"/>
      <w:szCs w:val="16"/>
    </w:rPr>
  </w:style>
  <w:style w:type="paragraph" w:customStyle="1" w:styleId="font6">
    <w:name w:val="font6"/>
    <w:basedOn w:val="a"/>
    <w:qFormat/>
    <w:rsid w:val="00546E16"/>
    <w:pPr>
      <w:widowControl/>
      <w:spacing w:before="100" w:beforeAutospacing="1" w:after="100" w:afterAutospacing="1"/>
      <w:jc w:val="left"/>
    </w:pPr>
    <w:rPr>
      <w:rFonts w:ascii="宋体" w:eastAsia="宋体" w:hAnsi="宋体" w:cs="宋体"/>
      <w:b/>
      <w:bCs/>
      <w:color w:val="000000"/>
      <w:kern w:val="0"/>
      <w:sz w:val="18"/>
      <w:szCs w:val="18"/>
    </w:rPr>
  </w:style>
  <w:style w:type="paragraph" w:customStyle="1" w:styleId="xl66">
    <w:name w:val="xl66"/>
    <w:basedOn w:val="a"/>
    <w:qFormat/>
    <w:rsid w:val="00546E16"/>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黑体" w:eastAsia="黑体" w:hAnsi="黑体" w:cs="宋体"/>
      <w:color w:val="000000"/>
      <w:kern w:val="0"/>
      <w:sz w:val="24"/>
      <w:szCs w:val="24"/>
    </w:rPr>
  </w:style>
  <w:style w:type="paragraph" w:customStyle="1" w:styleId="xl67">
    <w:name w:val="xl67"/>
    <w:basedOn w:val="a"/>
    <w:qFormat/>
    <w:rsid w:val="00546E16"/>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黑体" w:eastAsia="黑体" w:hAnsi="黑体" w:cs="宋体"/>
      <w:color w:val="000000"/>
      <w:kern w:val="0"/>
      <w:sz w:val="24"/>
      <w:szCs w:val="24"/>
    </w:rPr>
  </w:style>
  <w:style w:type="paragraph" w:customStyle="1" w:styleId="xl68">
    <w:name w:val="xl68"/>
    <w:basedOn w:val="a"/>
    <w:qFormat/>
    <w:rsid w:val="00546E16"/>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黑体" w:eastAsia="黑体" w:hAnsi="黑体" w:cs="宋体"/>
      <w:color w:val="000000"/>
      <w:kern w:val="0"/>
      <w:sz w:val="24"/>
      <w:szCs w:val="24"/>
    </w:rPr>
  </w:style>
  <w:style w:type="character" w:customStyle="1" w:styleId="Char1">
    <w:name w:val="日期 Char"/>
    <w:basedOn w:val="a0"/>
    <w:link w:val="a5"/>
    <w:uiPriority w:val="99"/>
    <w:semiHidden/>
    <w:qFormat/>
    <w:rsid w:val="00546E16"/>
    <w:rPr>
      <w:kern w:val="2"/>
      <w:sz w:val="21"/>
      <w:szCs w:val="22"/>
    </w:rPr>
  </w:style>
  <w:style w:type="paragraph" w:customStyle="1" w:styleId="2">
    <w:name w:val="列出段落2"/>
    <w:basedOn w:val="a"/>
    <w:uiPriority w:val="99"/>
    <w:unhideWhenUsed/>
    <w:qFormat/>
    <w:rsid w:val="00546E16"/>
    <w:pPr>
      <w:ind w:firstLineChars="200" w:firstLine="420"/>
    </w:pPr>
  </w:style>
  <w:style w:type="character" w:customStyle="1" w:styleId="Char0">
    <w:name w:val="批注文字 Char"/>
    <w:basedOn w:val="a0"/>
    <w:link w:val="a4"/>
    <w:uiPriority w:val="99"/>
    <w:semiHidden/>
    <w:qFormat/>
    <w:rsid w:val="00546E16"/>
    <w:rPr>
      <w:rFonts w:asciiTheme="minorHAnsi" w:eastAsiaTheme="minorEastAsia" w:hAnsiTheme="minorHAnsi" w:cstheme="minorBidi"/>
      <w:kern w:val="2"/>
      <w:sz w:val="21"/>
      <w:szCs w:val="22"/>
    </w:rPr>
  </w:style>
  <w:style w:type="character" w:customStyle="1" w:styleId="Char">
    <w:name w:val="批注主题 Char"/>
    <w:basedOn w:val="Char0"/>
    <w:link w:val="a3"/>
    <w:uiPriority w:val="99"/>
    <w:semiHidden/>
    <w:qFormat/>
    <w:rsid w:val="00546E16"/>
    <w:rPr>
      <w:rFonts w:asciiTheme="minorHAnsi" w:eastAsiaTheme="minorEastAsia" w:hAnsiTheme="minorHAnsi" w:cstheme="minorBidi"/>
      <w:b/>
      <w:bCs/>
      <w:kern w:val="2"/>
      <w:sz w:val="21"/>
      <w:szCs w:val="22"/>
    </w:rPr>
  </w:style>
  <w:style w:type="character" w:customStyle="1" w:styleId="font01">
    <w:name w:val="font01"/>
    <w:basedOn w:val="a0"/>
    <w:qFormat/>
    <w:rsid w:val="00546E16"/>
    <w:rPr>
      <w:rFonts w:ascii="宋体" w:eastAsia="宋体" w:hAnsi="宋体" w:cs="宋体" w:hint="eastAsia"/>
      <w:color w:val="000000"/>
      <w:sz w:val="20"/>
      <w:szCs w:val="20"/>
      <w:u w:val="none"/>
    </w:rPr>
  </w:style>
  <w:style w:type="character" w:customStyle="1" w:styleId="font21">
    <w:name w:val="font21"/>
    <w:basedOn w:val="a0"/>
    <w:qFormat/>
    <w:rsid w:val="00546E16"/>
    <w:rPr>
      <w:rFonts w:ascii="宋体" w:eastAsia="宋体" w:hAnsi="宋体" w:cs="宋体" w:hint="eastAsia"/>
      <w:color w:val="FF0000"/>
      <w:sz w:val="20"/>
      <w:szCs w:val="20"/>
      <w:u w:val="none"/>
    </w:rPr>
  </w:style>
  <w:style w:type="character" w:customStyle="1" w:styleId="font11">
    <w:name w:val="font11"/>
    <w:basedOn w:val="a0"/>
    <w:qFormat/>
    <w:rsid w:val="00546E16"/>
    <w:rPr>
      <w:rFonts w:ascii="Arial" w:hAnsi="Arial" w:cs="Arial" w:hint="default"/>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1</a:t>
            </a:r>
            <a:r>
              <a:rPr altLang="en-US"/>
              <a:t>商户抽查结果</a:t>
            </a:r>
          </a:p>
        </c:rich>
      </c:tx>
      <c:spPr>
        <a:noFill/>
        <a:ln>
          <a:noFill/>
        </a:ln>
        <a:effectLst/>
      </c:spPr>
    </c:title>
    <c:plotArea>
      <c:layout/>
      <c:barChart>
        <c:barDir val="col"/>
        <c:grouping val="clustered"/>
        <c:ser>
          <c:idx val="0"/>
          <c:order val="0"/>
          <c:tx>
            <c:strRef>
              <c:f>Sheet1!$B$1</c:f>
              <c:strCache>
                <c:ptCount val="1"/>
                <c:pt idx="0">
                  <c:v>抽查批次</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连城县莲峰阿郭消防器材供应处</c:v>
                </c:pt>
                <c:pt idx="1">
                  <c:v>龙岩市明安建材贸易有限公司</c:v>
                </c:pt>
                <c:pt idx="2">
                  <c:v>龙岩市欣福安消防设备有限公司</c:v>
                </c:pt>
                <c:pt idx="3">
                  <c:v>上杭县金杭消防器材经营部</c:v>
                </c:pt>
                <c:pt idx="4">
                  <c:v>武平县平安消防器材服务部</c:v>
                </c:pt>
                <c:pt idx="5">
                  <c:v>新罗区沃特斯阀门经营部</c:v>
                </c:pt>
                <c:pt idx="6">
                  <c:v>永定区万友消防器材经营部</c:v>
                </c:pt>
                <c:pt idx="7">
                  <c:v>漳平市顺安消防劳保用品经营部</c:v>
                </c:pt>
                <c:pt idx="8">
                  <c:v>长汀县大同镇汀安消防器材经营部</c:v>
                </c:pt>
              </c:strCache>
            </c:strRef>
          </c:cat>
          <c:val>
            <c:numRef>
              <c:f>Sheet1!$B$2:$B$10</c:f>
              <c:numCache>
                <c:formatCode>General</c:formatCode>
                <c:ptCount val="9"/>
                <c:pt idx="0">
                  <c:v>2</c:v>
                </c:pt>
                <c:pt idx="1">
                  <c:v>2</c:v>
                </c:pt>
                <c:pt idx="2">
                  <c:v>3</c:v>
                </c:pt>
                <c:pt idx="3">
                  <c:v>2</c:v>
                </c:pt>
                <c:pt idx="4">
                  <c:v>2</c:v>
                </c:pt>
                <c:pt idx="5">
                  <c:v>3</c:v>
                </c:pt>
                <c:pt idx="6">
                  <c:v>2</c:v>
                </c:pt>
                <c:pt idx="7">
                  <c:v>2</c:v>
                </c:pt>
                <c:pt idx="8">
                  <c:v>2</c:v>
                </c:pt>
              </c:numCache>
            </c:numRef>
          </c:val>
        </c:ser>
        <c:ser>
          <c:idx val="1"/>
          <c:order val="1"/>
          <c:tx>
            <c:strRef>
              <c:f>Sheet1!$C$1</c:f>
              <c:strCache>
                <c:ptCount val="1"/>
                <c:pt idx="0">
                  <c:v>合格批次</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连城县莲峰阿郭消防器材供应处</c:v>
                </c:pt>
                <c:pt idx="1">
                  <c:v>龙岩市明安建材贸易有限公司</c:v>
                </c:pt>
                <c:pt idx="2">
                  <c:v>龙岩市欣福安消防设备有限公司</c:v>
                </c:pt>
                <c:pt idx="3">
                  <c:v>上杭县金杭消防器材经营部</c:v>
                </c:pt>
                <c:pt idx="4">
                  <c:v>武平县平安消防器材服务部</c:v>
                </c:pt>
                <c:pt idx="5">
                  <c:v>新罗区沃特斯阀门经营部</c:v>
                </c:pt>
                <c:pt idx="6">
                  <c:v>永定区万友消防器材经营部</c:v>
                </c:pt>
                <c:pt idx="7">
                  <c:v>漳平市顺安消防劳保用品经营部</c:v>
                </c:pt>
                <c:pt idx="8">
                  <c:v>长汀县大同镇汀安消防器材经营部</c:v>
                </c:pt>
              </c:strCache>
            </c:strRef>
          </c:cat>
          <c:val>
            <c:numRef>
              <c:f>Sheet1!$C$2:$C$10</c:f>
              <c:numCache>
                <c:formatCode>General</c:formatCode>
                <c:ptCount val="9"/>
                <c:pt idx="0">
                  <c:v>2</c:v>
                </c:pt>
                <c:pt idx="1">
                  <c:v>2</c:v>
                </c:pt>
                <c:pt idx="2">
                  <c:v>3</c:v>
                </c:pt>
                <c:pt idx="3">
                  <c:v>2</c:v>
                </c:pt>
                <c:pt idx="4">
                  <c:v>2</c:v>
                </c:pt>
                <c:pt idx="5">
                  <c:v>3</c:v>
                </c:pt>
                <c:pt idx="6">
                  <c:v>2</c:v>
                </c:pt>
                <c:pt idx="7">
                  <c:v>2</c:v>
                </c:pt>
                <c:pt idx="8">
                  <c:v>2</c:v>
                </c:pt>
              </c:numCache>
            </c:numRef>
          </c:val>
        </c:ser>
        <c:dLbls>
          <c:showVal val="1"/>
        </c:dLbls>
        <c:gapWidth val="219"/>
        <c:overlap val="-27"/>
        <c:axId val="239299968"/>
        <c:axId val="265070464"/>
      </c:barChart>
      <c:lineChart>
        <c:grouping val="standard"/>
        <c:ser>
          <c:idx val="2"/>
          <c:order val="2"/>
          <c:tx>
            <c:strRef>
              <c:f>Sheet1!$D$1</c:f>
              <c:strCache>
                <c:ptCount val="1"/>
                <c:pt idx="0">
                  <c:v>合格率（%）</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r"/>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连城县莲峰阿郭消防器材供应处</c:v>
                </c:pt>
                <c:pt idx="1">
                  <c:v>龙岩市明安建材贸易有限公司</c:v>
                </c:pt>
                <c:pt idx="2">
                  <c:v>龙岩市欣福安消防设备有限公司</c:v>
                </c:pt>
                <c:pt idx="3">
                  <c:v>上杭县金杭消防器材经营部</c:v>
                </c:pt>
                <c:pt idx="4">
                  <c:v>武平县平安消防器材服务部</c:v>
                </c:pt>
                <c:pt idx="5">
                  <c:v>新罗区沃特斯阀门经营部</c:v>
                </c:pt>
                <c:pt idx="6">
                  <c:v>永定区万友消防器材经营部</c:v>
                </c:pt>
                <c:pt idx="7">
                  <c:v>漳平市顺安消防劳保用品经营部</c:v>
                </c:pt>
                <c:pt idx="8">
                  <c:v>长汀县大同镇汀安消防器材经营部</c:v>
                </c:pt>
              </c:strCache>
            </c:strRef>
          </c:cat>
          <c:val>
            <c:numRef>
              <c:f>Sheet1!$D$2:$D$10</c:f>
              <c:numCache>
                <c:formatCode>General</c:formatCode>
                <c:ptCount val="9"/>
                <c:pt idx="0">
                  <c:v>100</c:v>
                </c:pt>
                <c:pt idx="1">
                  <c:v>100</c:v>
                </c:pt>
                <c:pt idx="2">
                  <c:v>100</c:v>
                </c:pt>
                <c:pt idx="3">
                  <c:v>100</c:v>
                </c:pt>
                <c:pt idx="4">
                  <c:v>100</c:v>
                </c:pt>
                <c:pt idx="5">
                  <c:v>100</c:v>
                </c:pt>
                <c:pt idx="6">
                  <c:v>100</c:v>
                </c:pt>
                <c:pt idx="7">
                  <c:v>100</c:v>
                </c:pt>
                <c:pt idx="8">
                  <c:v>100</c:v>
                </c:pt>
              </c:numCache>
            </c:numRef>
          </c:val>
        </c:ser>
        <c:dLbls>
          <c:showVal val="1"/>
        </c:dLbls>
        <c:marker val="1"/>
        <c:axId val="265072000"/>
        <c:axId val="238969984"/>
      </c:lineChart>
      <c:catAx>
        <c:axId val="239299968"/>
        <c:scaling>
          <c:orientation val="minMax"/>
        </c:scaling>
        <c:axPos val="b"/>
        <c:majorTickMark val="none"/>
        <c:tickLblPos val="nextTo"/>
        <c:spPr>
          <a:noFill/>
          <a:ln w="9525" cap="flat" cmpd="sng" algn="ctr">
            <a:solidFill>
              <a:schemeClr val="tx1">
                <a:lumMod val="15000"/>
                <a:lumOff val="85000"/>
              </a:schemeClr>
            </a:solidFill>
            <a:round/>
          </a:ln>
          <a:effectLst/>
        </c:spPr>
        <c:txPr>
          <a:bodyPr rot="-2520000" spcFirstLastPara="0" vertOverflow="ellipsis" vert="horz" wrap="square" anchor="b" anchorCtr="0"/>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65070464"/>
        <c:crosses val="autoZero"/>
        <c:auto val="1"/>
        <c:lblAlgn val="ctr"/>
        <c:lblOffset val="100"/>
      </c:catAx>
      <c:valAx>
        <c:axId val="265070464"/>
        <c:scaling>
          <c:orientation val="minMax"/>
          <c:max val="3"/>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39299968"/>
        <c:crosses val="autoZero"/>
        <c:crossBetween val="between"/>
        <c:majorUnit val="1"/>
      </c:valAx>
      <c:catAx>
        <c:axId val="265072000"/>
        <c:scaling>
          <c:orientation val="minMax"/>
        </c:scaling>
        <c:delete val="1"/>
        <c:axPos val="b"/>
        <c:majorTickMark val="none"/>
        <c:tickLblPos val="none"/>
        <c:crossAx val="238969984"/>
        <c:crosses val="autoZero"/>
        <c:auto val="1"/>
        <c:lblAlgn val="ctr"/>
        <c:lblOffset val="100"/>
      </c:catAx>
      <c:valAx>
        <c:axId val="238969984"/>
        <c:scaling>
          <c:orientation val="minMax"/>
          <c:max val="100"/>
        </c:scaling>
        <c:axPos val="r"/>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65072000"/>
        <c:crosses val="max"/>
        <c:crossBetween val="between"/>
        <c:majorUnit val="20"/>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2</a:t>
            </a:r>
            <a:r>
              <a:rPr altLang="en-US"/>
              <a:t>商户抽查占比</a:t>
            </a:r>
          </a:p>
        </c:rich>
      </c:tx>
      <c:spPr>
        <a:noFill/>
        <a:ln>
          <a:noFill/>
        </a:ln>
        <a:effectLst/>
      </c:spPr>
    </c:title>
    <c:plotArea>
      <c:layout>
        <c:manualLayout>
          <c:layoutTarget val="inner"/>
          <c:xMode val="edge"/>
          <c:yMode val="edge"/>
          <c:x val="0.28680044870995935"/>
          <c:y val="0.10392379869206694"/>
          <c:w val="0.44110681789854223"/>
          <c:h val="0.50312766562411104"/>
        </c:manualLayout>
      </c:layout>
      <c:pieChart>
        <c:varyColors val="1"/>
        <c:ser>
          <c:idx val="0"/>
          <c:order val="0"/>
          <c:tx>
            <c:strRef>
              <c:f>Sheet1!$B$1</c:f>
              <c:strCache>
                <c:ptCount val="1"/>
                <c:pt idx="0">
                  <c:v>抽查批次</c:v>
                </c:pt>
              </c:strCache>
            </c:strRef>
          </c:tx>
          <c:dPt>
            <c:idx val="0"/>
            <c:spPr>
              <a:solidFill>
                <a:schemeClr val="accent1"/>
              </a:solidFill>
              <a:ln w="19050">
                <a:solidFill>
                  <a:schemeClr val="lt1"/>
                </a:solidFill>
              </a:ln>
              <a:effectLst/>
            </c:spPr>
          </c:dPt>
          <c:dPt>
            <c:idx val="1"/>
            <c:spPr>
              <a:solidFill>
                <a:schemeClr val="accent2"/>
              </a:solidFill>
              <a:ln w="19050">
                <a:solidFill>
                  <a:schemeClr val="lt1"/>
                </a:solidFill>
              </a:ln>
              <a:effectLst/>
            </c:spPr>
          </c:dPt>
          <c:dPt>
            <c:idx val="2"/>
            <c:spPr>
              <a:solidFill>
                <a:schemeClr val="accent3"/>
              </a:solidFill>
              <a:ln w="19050">
                <a:solidFill>
                  <a:schemeClr val="lt1"/>
                </a:solidFill>
              </a:ln>
              <a:effectLst/>
            </c:spPr>
          </c:dPt>
          <c:dPt>
            <c:idx val="3"/>
            <c:spPr>
              <a:solidFill>
                <a:schemeClr val="accent4"/>
              </a:solidFill>
              <a:ln w="19050">
                <a:solidFill>
                  <a:schemeClr val="lt1"/>
                </a:solidFill>
              </a:ln>
              <a:effectLst/>
            </c:spPr>
          </c:dPt>
          <c:dPt>
            <c:idx val="4"/>
            <c:spPr>
              <a:solidFill>
                <a:schemeClr val="accent5"/>
              </a:solidFill>
              <a:ln w="19050">
                <a:solidFill>
                  <a:schemeClr val="lt1"/>
                </a:solidFill>
              </a:ln>
              <a:effectLst/>
            </c:spPr>
          </c:dPt>
          <c:dPt>
            <c:idx val="5"/>
            <c:spPr>
              <a:solidFill>
                <a:schemeClr val="accent6"/>
              </a:solidFill>
              <a:ln w="19050">
                <a:solidFill>
                  <a:schemeClr val="lt1"/>
                </a:solidFill>
              </a:ln>
              <a:effectLst/>
            </c:spPr>
          </c:dPt>
          <c:dPt>
            <c:idx val="6"/>
            <c:spPr>
              <a:solidFill>
                <a:schemeClr val="accent1">
                  <a:lumMod val="60000"/>
                </a:schemeClr>
              </a:solidFill>
              <a:ln w="19050">
                <a:solidFill>
                  <a:schemeClr val="lt1"/>
                </a:solidFill>
              </a:ln>
              <a:effectLst/>
            </c:spPr>
          </c:dPt>
          <c:dPt>
            <c:idx val="7"/>
            <c:spPr>
              <a:solidFill>
                <a:schemeClr val="accent2">
                  <a:lumMod val="60000"/>
                </a:schemeClr>
              </a:solidFill>
              <a:ln w="19050">
                <a:solidFill>
                  <a:schemeClr val="lt1"/>
                </a:solidFill>
              </a:ln>
              <a:effectLst/>
            </c:spPr>
          </c:dPt>
          <c:dPt>
            <c:idx val="8"/>
            <c:spPr>
              <a:solidFill>
                <a:schemeClr val="accent3">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连城县莲峰阿郭消防器材供应处</c:v>
                </c:pt>
                <c:pt idx="1">
                  <c:v>龙岩市明安建材贸易有限公司</c:v>
                </c:pt>
                <c:pt idx="2">
                  <c:v>龙岩市欣福安消防设备有限公司</c:v>
                </c:pt>
                <c:pt idx="3">
                  <c:v>上杭县金杭消防器材经营部</c:v>
                </c:pt>
                <c:pt idx="4">
                  <c:v>武平县平安消防器材服务部</c:v>
                </c:pt>
                <c:pt idx="5">
                  <c:v>新罗区沃特斯阀门经营部</c:v>
                </c:pt>
                <c:pt idx="6">
                  <c:v>永定区万友消防器材经营部</c:v>
                </c:pt>
                <c:pt idx="7">
                  <c:v>漳平市顺安消防劳保用品经营部</c:v>
                </c:pt>
                <c:pt idx="8">
                  <c:v>长汀县大同镇汀安消防器材经营部</c:v>
                </c:pt>
              </c:strCache>
            </c:strRef>
          </c:cat>
          <c:val>
            <c:numRef>
              <c:f>Sheet1!$B$2:$B$10</c:f>
              <c:numCache>
                <c:formatCode>General</c:formatCode>
                <c:ptCount val="9"/>
                <c:pt idx="0">
                  <c:v>2</c:v>
                </c:pt>
                <c:pt idx="1">
                  <c:v>2</c:v>
                </c:pt>
                <c:pt idx="2">
                  <c:v>3</c:v>
                </c:pt>
                <c:pt idx="3">
                  <c:v>2</c:v>
                </c:pt>
                <c:pt idx="4">
                  <c:v>2</c:v>
                </c:pt>
                <c:pt idx="5">
                  <c:v>3</c:v>
                </c:pt>
                <c:pt idx="6">
                  <c:v>2</c:v>
                </c:pt>
                <c:pt idx="7">
                  <c:v>2</c:v>
                </c:pt>
                <c:pt idx="8">
                  <c:v>2</c:v>
                </c:pt>
              </c:numCache>
            </c:numRef>
          </c:val>
        </c:ser>
        <c:dLbls>
          <c:showVal val="1"/>
        </c:dLbls>
        <c:firstSliceAng val="0"/>
      </c:pieChart>
      <c:spPr>
        <a:noFill/>
        <a:ln>
          <a:noFill/>
        </a:ln>
        <a:effectLst/>
      </c:spPr>
    </c:plotArea>
    <c:legend>
      <c:legendPos val="b"/>
      <c:layout>
        <c:manualLayout>
          <c:xMode val="edge"/>
          <c:yMode val="edge"/>
          <c:x val="6.0500000000000012E-2"/>
          <c:y val="0.69533333333333303"/>
          <c:w val="0.87900000000000045"/>
          <c:h val="0.29966666666666736"/>
        </c:manualLayout>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b="1"/>
              <a:t>图</a:t>
            </a:r>
            <a:r>
              <a:rPr lang="en-US" altLang="zh-CN" sz="1400" b="1"/>
              <a:t>3</a:t>
            </a:r>
            <a:r>
              <a:rPr lang="zh-CN" altLang="zh-CN" sz="1400" b="1"/>
              <a:t>抽查区域结果</a:t>
            </a:r>
            <a:endParaRPr lang="zh-CN" altLang="zh-CN" sz="1400"/>
          </a:p>
        </c:rich>
      </c:tx>
      <c:layout>
        <c:manualLayout>
          <c:xMode val="edge"/>
          <c:yMode val="edge"/>
          <c:x val="0.36900282220131708"/>
          <c:y val="2.1366659947591186E-2"/>
        </c:manualLayout>
      </c:layout>
    </c:title>
    <c:plotArea>
      <c:layout>
        <c:manualLayout>
          <c:layoutTarget val="inner"/>
          <c:xMode val="edge"/>
          <c:yMode val="edge"/>
          <c:x val="5.8913452492944503E-2"/>
          <c:y val="0.15138077000604697"/>
          <c:w val="0.88570084666039572"/>
          <c:h val="0.64039508163676739"/>
        </c:manualLayout>
      </c:layout>
      <c:barChart>
        <c:barDir val="col"/>
        <c:grouping val="clustered"/>
        <c:ser>
          <c:idx val="0"/>
          <c:order val="0"/>
          <c:tx>
            <c:strRef>
              <c:f>Sheet1!$B$1</c:f>
              <c:strCache>
                <c:ptCount val="1"/>
                <c:pt idx="0">
                  <c:v>抽查批次</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inBase"/>
            <c:showVal val="1"/>
            <c:extLst>
              <c:ext xmlns:c15="http://schemas.microsoft.com/office/drawing/2012/chart" uri="{CE6537A1-D6FC-4f65-9D91-7224C49458BB}">
                <c15:layout/>
                <c15:showLeaderLines val="0"/>
                <c15:leaderLines/>
              </c:ext>
            </c:extLst>
          </c:dLbls>
          <c:cat>
            <c:strRef>
              <c:f>Sheet1!$A$2:$A$8</c:f>
              <c:strCache>
                <c:ptCount val="7"/>
                <c:pt idx="0">
                  <c:v>连城县</c:v>
                </c:pt>
                <c:pt idx="1">
                  <c:v>上杭县</c:v>
                </c:pt>
                <c:pt idx="2">
                  <c:v>武平县</c:v>
                </c:pt>
                <c:pt idx="3">
                  <c:v>新罗区</c:v>
                </c:pt>
                <c:pt idx="4">
                  <c:v>永定区</c:v>
                </c:pt>
                <c:pt idx="5">
                  <c:v>漳平市</c:v>
                </c:pt>
                <c:pt idx="6">
                  <c:v>长汀县</c:v>
                </c:pt>
              </c:strCache>
            </c:strRef>
          </c:cat>
          <c:val>
            <c:numRef>
              <c:f>Sheet1!$B$2:$B$8</c:f>
              <c:numCache>
                <c:formatCode>General</c:formatCode>
                <c:ptCount val="7"/>
                <c:pt idx="0">
                  <c:v>2</c:v>
                </c:pt>
                <c:pt idx="1">
                  <c:v>2</c:v>
                </c:pt>
                <c:pt idx="2">
                  <c:v>2</c:v>
                </c:pt>
                <c:pt idx="3">
                  <c:v>8</c:v>
                </c:pt>
                <c:pt idx="4">
                  <c:v>2</c:v>
                </c:pt>
                <c:pt idx="5">
                  <c:v>2</c:v>
                </c:pt>
                <c:pt idx="6">
                  <c:v>2</c:v>
                </c:pt>
              </c:numCache>
            </c:numRef>
          </c:val>
        </c:ser>
        <c:ser>
          <c:idx val="1"/>
          <c:order val="1"/>
          <c:tx>
            <c:strRef>
              <c:f>Sheet1!$C$1</c:f>
              <c:strCache>
                <c:ptCount val="1"/>
                <c:pt idx="0">
                  <c:v>合格批次</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inBase"/>
            <c:showVal val="1"/>
            <c:extLst>
              <c:ext xmlns:c15="http://schemas.microsoft.com/office/drawing/2012/chart" uri="{CE6537A1-D6FC-4f65-9D91-7224C49458BB}">
                <c15:layout/>
                <c15:showLeaderLines val="0"/>
                <c15:leaderLines/>
              </c:ext>
            </c:extLst>
          </c:dLbls>
          <c:cat>
            <c:strRef>
              <c:f>Sheet1!$A$2:$A$8</c:f>
              <c:strCache>
                <c:ptCount val="7"/>
                <c:pt idx="0">
                  <c:v>连城县</c:v>
                </c:pt>
                <c:pt idx="1">
                  <c:v>上杭县</c:v>
                </c:pt>
                <c:pt idx="2">
                  <c:v>武平县</c:v>
                </c:pt>
                <c:pt idx="3">
                  <c:v>新罗区</c:v>
                </c:pt>
                <c:pt idx="4">
                  <c:v>永定区</c:v>
                </c:pt>
                <c:pt idx="5">
                  <c:v>漳平市</c:v>
                </c:pt>
                <c:pt idx="6">
                  <c:v>长汀县</c:v>
                </c:pt>
              </c:strCache>
            </c:strRef>
          </c:cat>
          <c:val>
            <c:numRef>
              <c:f>Sheet1!$C$2:$C$8</c:f>
              <c:numCache>
                <c:formatCode>General</c:formatCode>
                <c:ptCount val="7"/>
                <c:pt idx="0">
                  <c:v>2</c:v>
                </c:pt>
                <c:pt idx="1">
                  <c:v>2</c:v>
                </c:pt>
                <c:pt idx="2">
                  <c:v>2</c:v>
                </c:pt>
                <c:pt idx="3">
                  <c:v>8</c:v>
                </c:pt>
                <c:pt idx="4">
                  <c:v>2</c:v>
                </c:pt>
                <c:pt idx="5">
                  <c:v>2</c:v>
                </c:pt>
                <c:pt idx="6">
                  <c:v>2</c:v>
                </c:pt>
              </c:numCache>
            </c:numRef>
          </c:val>
        </c:ser>
        <c:gapWidth val="75"/>
        <c:overlap val="-25"/>
        <c:axId val="239159936"/>
        <c:axId val="239186304"/>
      </c:barChart>
      <c:lineChart>
        <c:grouping val="stacked"/>
        <c:ser>
          <c:idx val="2"/>
          <c:order val="2"/>
          <c:tx>
            <c:strRef>
              <c:f>Sheet1!$D$1</c:f>
              <c:strCache>
                <c:ptCount val="1"/>
                <c:pt idx="0">
                  <c:v>合格率（%）</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r"/>
            <c:showVal val="1"/>
            <c:extLst>
              <c:ext xmlns:c15="http://schemas.microsoft.com/office/drawing/2012/chart" uri="{CE6537A1-D6FC-4f65-9D91-7224C49458BB}">
                <c15:layout/>
                <c15:showLeaderLines val="0"/>
                <c15:leaderLines/>
              </c:ext>
            </c:extLst>
          </c:dLbls>
          <c:cat>
            <c:strRef>
              <c:f>Sheet1!$A$2:$A$8</c:f>
              <c:strCache>
                <c:ptCount val="7"/>
                <c:pt idx="0">
                  <c:v>连城县</c:v>
                </c:pt>
                <c:pt idx="1">
                  <c:v>上杭县</c:v>
                </c:pt>
                <c:pt idx="2">
                  <c:v>武平县</c:v>
                </c:pt>
                <c:pt idx="3">
                  <c:v>新罗区</c:v>
                </c:pt>
                <c:pt idx="4">
                  <c:v>永定区</c:v>
                </c:pt>
                <c:pt idx="5">
                  <c:v>漳平市</c:v>
                </c:pt>
                <c:pt idx="6">
                  <c:v>长汀县</c:v>
                </c:pt>
              </c:strCache>
            </c:strRef>
          </c:cat>
          <c:val>
            <c:numRef>
              <c:f>Sheet1!$D$2:$D$8</c:f>
              <c:numCache>
                <c:formatCode>General</c:formatCode>
                <c:ptCount val="7"/>
                <c:pt idx="0">
                  <c:v>100</c:v>
                </c:pt>
                <c:pt idx="1">
                  <c:v>100</c:v>
                </c:pt>
                <c:pt idx="2">
                  <c:v>100</c:v>
                </c:pt>
                <c:pt idx="3">
                  <c:v>100</c:v>
                </c:pt>
                <c:pt idx="4">
                  <c:v>100</c:v>
                </c:pt>
                <c:pt idx="5">
                  <c:v>100</c:v>
                </c:pt>
                <c:pt idx="6">
                  <c:v>100</c:v>
                </c:pt>
              </c:numCache>
            </c:numRef>
          </c:val>
        </c:ser>
        <c:dLbls>
          <c:showVal val="1"/>
        </c:dLbls>
        <c:marker val="1"/>
        <c:axId val="239187840"/>
        <c:axId val="239189376"/>
      </c:lineChart>
      <c:catAx>
        <c:axId val="239159936"/>
        <c:scaling>
          <c:orientation val="minMax"/>
        </c:scaling>
        <c:axPos val="b"/>
        <c:numFmt formatCode="_ &quot;￥&quot;* #,##0.00_ ;_ &quot;￥&quot;* \-#,##0.00_ ;_ &quot;￥&quot;* &quot;-&quot;??_ ;_ @_ "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39186304"/>
        <c:crosses val="autoZero"/>
        <c:auto val="1"/>
        <c:lblAlgn val="ctr"/>
        <c:lblOffset val="100"/>
      </c:catAx>
      <c:valAx>
        <c:axId val="239186304"/>
        <c:scaling>
          <c:orientation val="minMax"/>
          <c:max val="8"/>
          <c:min val="0"/>
        </c:scaling>
        <c:axPos val="l"/>
        <c:majorGridlines/>
        <c:numFmt formatCode="General" sourceLinked="1"/>
        <c:majorTickMark val="none"/>
        <c:tickLblPos val="nextTo"/>
        <c:spPr>
          <a:ln w="9525" cap="flat" cmpd="sng" algn="ctr">
            <a:noFill/>
            <a:prstDash val="solid"/>
            <a:round/>
          </a:ln>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39159936"/>
        <c:crosses val="autoZero"/>
        <c:crossBetween val="between"/>
        <c:majorUnit val="2"/>
      </c:valAx>
      <c:catAx>
        <c:axId val="239187840"/>
        <c:scaling>
          <c:orientation val="minMax"/>
        </c:scaling>
        <c:delete val="1"/>
        <c:axPos val="b"/>
        <c:numFmt formatCode="General" sourceLinked="1"/>
        <c:tickLblPos val="none"/>
        <c:crossAx val="239189376"/>
        <c:crosses val="autoZero"/>
        <c:auto val="1"/>
        <c:lblAlgn val="ctr"/>
        <c:lblOffset val="100"/>
      </c:catAx>
      <c:valAx>
        <c:axId val="239189376"/>
        <c:scaling>
          <c:orientation val="minMax"/>
          <c:max val="100"/>
          <c:min val="0"/>
        </c:scaling>
        <c:axPos val="r"/>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39187840"/>
        <c:crosses val="max"/>
        <c:crossBetween val="between"/>
        <c:majorUnit val="20"/>
      </c:valAx>
    </c:plotArea>
    <c:legend>
      <c:legendPos val="b"/>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chart>
  <c:spPr>
    <a:ln w="9525" cap="flat" cmpd="sng" algn="ctr">
      <a:noFill/>
      <a:prstDash val="solid"/>
      <a:round/>
    </a:ln>
  </c:spPr>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图</a:t>
            </a:r>
            <a:r>
              <a:rPr lang="en-US" altLang="zh-CN" b="1"/>
              <a:t>4</a:t>
            </a:r>
            <a:r>
              <a:rPr b="1"/>
              <a:t>抽查区域占比</a:t>
            </a:r>
          </a:p>
        </c:rich>
      </c:tx>
      <c:layout>
        <c:manualLayout>
          <c:xMode val="edge"/>
          <c:yMode val="edge"/>
          <c:x val="0.34187500000000021"/>
          <c:y val="3.4000000000000002E-2"/>
        </c:manualLayout>
      </c:layout>
      <c:spPr>
        <a:noFill/>
        <a:ln>
          <a:noFill/>
        </a:ln>
        <a:effectLst/>
      </c:spPr>
    </c:title>
    <c:plotArea>
      <c:layout>
        <c:manualLayout>
          <c:layoutTarget val="inner"/>
          <c:xMode val="edge"/>
          <c:yMode val="edge"/>
          <c:x val="0.16455"/>
          <c:y val="0.17515"/>
          <c:w val="0.55165000000000042"/>
          <c:h val="0.73553333333333304"/>
        </c:manualLayout>
      </c:layout>
      <c:pieChart>
        <c:varyColors val="1"/>
        <c:ser>
          <c:idx val="0"/>
          <c:order val="0"/>
          <c:tx>
            <c:strRef>
              <c:f>Sheet1!$B$1</c:f>
              <c:strCache>
                <c:ptCount val="1"/>
                <c:pt idx="0">
                  <c:v>抽查批次</c:v>
                </c:pt>
              </c:strCache>
            </c:strRef>
          </c:tx>
          <c:dPt>
            <c:idx val="0"/>
            <c:spPr>
              <a:solidFill>
                <a:schemeClr val="accent1"/>
              </a:solidFill>
              <a:ln w="19050">
                <a:solidFill>
                  <a:schemeClr val="lt1"/>
                </a:solidFill>
              </a:ln>
              <a:effectLst/>
            </c:spPr>
          </c:dPt>
          <c:dPt>
            <c:idx val="1"/>
            <c:spPr>
              <a:solidFill>
                <a:schemeClr val="accent2"/>
              </a:solidFill>
              <a:ln w="19050">
                <a:solidFill>
                  <a:schemeClr val="lt1"/>
                </a:solidFill>
              </a:ln>
              <a:effectLst/>
            </c:spPr>
          </c:dPt>
          <c:dPt>
            <c:idx val="2"/>
            <c:spPr>
              <a:solidFill>
                <a:schemeClr val="accent3"/>
              </a:solidFill>
              <a:ln w="19050">
                <a:solidFill>
                  <a:schemeClr val="lt1"/>
                </a:solidFill>
              </a:ln>
              <a:effectLst/>
            </c:spPr>
          </c:dPt>
          <c:dPt>
            <c:idx val="3"/>
            <c:spPr>
              <a:solidFill>
                <a:schemeClr val="accent4"/>
              </a:solidFill>
              <a:ln w="19050">
                <a:solidFill>
                  <a:schemeClr val="lt1"/>
                </a:solidFill>
              </a:ln>
              <a:effectLst/>
            </c:spPr>
          </c:dPt>
          <c:dPt>
            <c:idx val="4"/>
            <c:spPr>
              <a:solidFill>
                <a:schemeClr val="accent5"/>
              </a:solidFill>
              <a:ln w="19050">
                <a:solidFill>
                  <a:schemeClr val="lt1"/>
                </a:solidFill>
              </a:ln>
              <a:effectLst/>
            </c:spPr>
          </c:dPt>
          <c:dPt>
            <c:idx val="5"/>
            <c:spPr>
              <a:solidFill>
                <a:schemeClr val="accent6"/>
              </a:solidFill>
              <a:ln w="19050">
                <a:solidFill>
                  <a:schemeClr val="lt1"/>
                </a:solidFill>
              </a:ln>
              <a:effectLst/>
            </c:spPr>
          </c:dPt>
          <c:dPt>
            <c:idx val="6"/>
            <c:spPr>
              <a:solidFill>
                <a:schemeClr val="accent1">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连城县</c:v>
                </c:pt>
                <c:pt idx="1">
                  <c:v>上杭县</c:v>
                </c:pt>
                <c:pt idx="2">
                  <c:v>武平县</c:v>
                </c:pt>
                <c:pt idx="3">
                  <c:v>新罗区</c:v>
                </c:pt>
                <c:pt idx="4">
                  <c:v>永定区</c:v>
                </c:pt>
                <c:pt idx="5">
                  <c:v>漳平市</c:v>
                </c:pt>
                <c:pt idx="6">
                  <c:v>长汀县</c:v>
                </c:pt>
              </c:strCache>
            </c:strRef>
          </c:cat>
          <c:val>
            <c:numRef>
              <c:f>Sheet1!$B$2:$B$8</c:f>
              <c:numCache>
                <c:formatCode>General</c:formatCode>
                <c:ptCount val="7"/>
                <c:pt idx="0">
                  <c:v>2</c:v>
                </c:pt>
                <c:pt idx="1">
                  <c:v>2</c:v>
                </c:pt>
                <c:pt idx="2">
                  <c:v>2</c:v>
                </c:pt>
                <c:pt idx="3">
                  <c:v>8</c:v>
                </c:pt>
                <c:pt idx="4">
                  <c:v>2</c:v>
                </c:pt>
                <c:pt idx="5">
                  <c:v>2</c:v>
                </c:pt>
                <c:pt idx="6">
                  <c:v>2</c:v>
                </c:pt>
              </c:numCache>
            </c:numRef>
          </c:val>
        </c:ser>
        <c:dLbls>
          <c:showVal val="1"/>
        </c:dLbls>
        <c:firstSliceAng val="0"/>
      </c:pieChart>
      <c:spPr>
        <a:noFill/>
        <a:ln>
          <a:noFill/>
        </a:ln>
        <a:effectLst/>
      </c:spPr>
    </c:plotArea>
    <c:legend>
      <c:legendPos val="r"/>
      <c:layout>
        <c:manualLayout>
          <c:xMode val="edge"/>
          <c:yMode val="edge"/>
          <c:x val="0.7917500000000004"/>
          <c:y val="0.236666666666667"/>
          <c:w val="0.139875"/>
          <c:h val="0.60916666666666697"/>
        </c:manualLayout>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72F660-90AD-4EC1-AC9A-B53C4269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342</Words>
  <Characters>1954</Characters>
  <Application>Microsoft Office Word</Application>
  <DocSecurity>0</DocSecurity>
  <Lines>16</Lines>
  <Paragraphs>4</Paragraphs>
  <ScaleCrop>false</ScaleCrop>
  <Company>Microsoft</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2017年宁夏回族自治区工商行政管理局流通领域日化用品商品质量抽查检验结果分析报告</dc:title>
  <dc:creator>Administrator</dc:creator>
  <cp:lastModifiedBy>gsj</cp:lastModifiedBy>
  <cp:revision>54</cp:revision>
  <cp:lastPrinted>2020-10-15T10:37:00Z</cp:lastPrinted>
  <dcterms:created xsi:type="dcterms:W3CDTF">2018-01-29T01:52:00Z</dcterms:created>
  <dcterms:modified xsi:type="dcterms:W3CDTF">2021-01-25T10:05:00Z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