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245" w:rsidRPr="00176D63" w:rsidRDefault="00814245" w:rsidP="00DB6C0B">
      <w:pPr>
        <w:pStyle w:val="Default"/>
        <w:spacing w:afterLines="50"/>
        <w:jc w:val="center"/>
        <w:rPr>
          <w:rFonts w:ascii="黑体" w:eastAsia="黑体" w:hAnsi="黑体"/>
          <w:b/>
          <w:sz w:val="44"/>
          <w:szCs w:val="44"/>
        </w:rPr>
      </w:pPr>
      <w:r w:rsidRPr="00176D63">
        <w:rPr>
          <w:rFonts w:ascii="黑体" w:eastAsia="黑体" w:hAnsi="黑体" w:hint="eastAsia"/>
          <w:b/>
          <w:sz w:val="44"/>
          <w:szCs w:val="44"/>
        </w:rPr>
        <w:t>关于抽检不合格项目的风险提示</w:t>
      </w:r>
    </w:p>
    <w:p w:rsidR="00C67EB8" w:rsidRPr="009C283F" w:rsidRDefault="00C67EB8" w:rsidP="00C67EB8">
      <w:pPr>
        <w:spacing w:line="640" w:lineRule="exact"/>
        <w:rPr>
          <w:rFonts w:ascii="仿宋" w:eastAsia="仿宋" w:hAnsi="仿宋"/>
          <w:b/>
          <w:color w:val="555555" w:themeColor="text1"/>
          <w:sz w:val="32"/>
          <w:szCs w:val="32"/>
        </w:rPr>
      </w:pPr>
      <w:r w:rsidRPr="009C283F">
        <w:rPr>
          <w:rFonts w:ascii="仿宋" w:eastAsia="仿宋" w:hAnsi="仿宋" w:hint="eastAsia"/>
          <w:b/>
          <w:color w:val="555555" w:themeColor="text1"/>
          <w:sz w:val="32"/>
          <w:szCs w:val="32"/>
        </w:rPr>
        <w:t>重金属污染问题</w:t>
      </w:r>
    </w:p>
    <w:p w:rsidR="00C67EB8" w:rsidRPr="009C283F" w:rsidRDefault="003A758E" w:rsidP="009C283F">
      <w:pPr>
        <w:pStyle w:val="NewNewNewNewNewNewNewNewNewNewNewNewNewNewNewNewNewNewNewNewNewNewNewNewNewNewNewNewNewNewNew"/>
        <w:adjustRightInd w:val="0"/>
        <w:snapToGrid w:val="0"/>
        <w:spacing w:line="640" w:lineRule="exact"/>
        <w:ind w:firstLineChars="200" w:firstLine="643"/>
        <w:rPr>
          <w:rFonts w:ascii="仿宋" w:eastAsia="仿宋" w:hAnsi="仿宋" w:cs="楷体"/>
          <w:b/>
          <w:bCs/>
          <w:color w:val="555555" w:themeColor="text1"/>
          <w:kern w:val="0"/>
          <w:sz w:val="32"/>
          <w:szCs w:val="32"/>
        </w:rPr>
      </w:pPr>
      <w:r w:rsidRPr="009C283F">
        <w:rPr>
          <w:rFonts w:ascii="仿宋" w:eastAsia="仿宋" w:hAnsi="仿宋" w:cs="楷体" w:hint="eastAsia"/>
          <w:b/>
          <w:bCs/>
          <w:color w:val="555555" w:themeColor="text1"/>
          <w:kern w:val="0"/>
          <w:sz w:val="32"/>
          <w:szCs w:val="32"/>
        </w:rPr>
        <w:t>一、</w:t>
      </w:r>
      <w:r w:rsidR="00C67EB8" w:rsidRPr="009C283F">
        <w:rPr>
          <w:rFonts w:ascii="仿宋" w:eastAsia="仿宋" w:hAnsi="仿宋" w:cs="楷体" w:hint="eastAsia"/>
          <w:b/>
          <w:bCs/>
          <w:color w:val="555555" w:themeColor="text1"/>
          <w:kern w:val="0"/>
          <w:sz w:val="32"/>
          <w:szCs w:val="32"/>
        </w:rPr>
        <w:t>铅（以Pb计）</w:t>
      </w:r>
    </w:p>
    <w:p w:rsidR="00C67EB8" w:rsidRPr="009C283F" w:rsidRDefault="00C67EB8" w:rsidP="00C67EB8">
      <w:pPr>
        <w:pStyle w:val="NewNewNewNewNewNewNewNewNewNewNewNewNewNewNewNewNewNewNewNewNewNewNewNewNewNewNewNewNewNewNew"/>
        <w:adjustRightInd w:val="0"/>
        <w:snapToGrid w:val="0"/>
        <w:spacing w:line="640" w:lineRule="exact"/>
        <w:ind w:firstLineChars="200" w:firstLine="640"/>
        <w:rPr>
          <w:rFonts w:ascii="仿宋" w:eastAsia="仿宋" w:hAnsi="仿宋" w:cs="仿宋_GB2312"/>
          <w:color w:val="555555" w:themeColor="text1"/>
          <w:kern w:val="0"/>
          <w:sz w:val="32"/>
          <w:szCs w:val="32"/>
        </w:rPr>
      </w:pPr>
      <w:r w:rsidRPr="009C283F">
        <w:rPr>
          <w:rFonts w:ascii="仿宋" w:eastAsia="仿宋" w:hAnsi="仿宋" w:cs="仿宋_GB2312" w:hint="eastAsia"/>
          <w:color w:val="555555" w:themeColor="text1"/>
          <w:kern w:val="0"/>
          <w:sz w:val="32"/>
          <w:szCs w:val="32"/>
        </w:rPr>
        <w:t>铅是一种能够在生物体内蓄积且排除缓慢的重金属污染物。《食品安全国家标准 食品中污染物限量》（GB 2762-2017）中规定，新鲜蔬菜（芸薹类蔬菜、叶菜蔬菜、豆类蔬菜、薯类除外）中铅的最大限量值为0.1 mg/kg。新鲜蔬菜中铅超标的原因，可能是蔬菜种植过程中对环境中铅元素的富集。铅可以在人体内积累，长期摄入铅超标食品，会严重影响大脑和神经系统。</w:t>
      </w:r>
    </w:p>
    <w:p w:rsidR="003A758E" w:rsidRPr="009C283F" w:rsidRDefault="003A758E" w:rsidP="009C283F">
      <w:pPr>
        <w:pStyle w:val="a5"/>
        <w:widowControl/>
        <w:spacing w:beforeAutospacing="0" w:afterAutospacing="0"/>
        <w:ind w:firstLineChars="196" w:firstLine="630"/>
        <w:jc w:val="both"/>
        <w:rPr>
          <w:rStyle w:val="a6"/>
          <w:rFonts w:ascii="仿宋" w:eastAsia="仿宋" w:hAnsi="仿宋"/>
          <w:color w:val="555555" w:themeColor="text1"/>
          <w:sz w:val="32"/>
          <w:szCs w:val="32"/>
        </w:rPr>
      </w:pPr>
      <w:r w:rsidRPr="009C283F">
        <w:rPr>
          <w:rStyle w:val="a6"/>
          <w:rFonts w:ascii="仿宋" w:eastAsia="仿宋" w:hAnsi="仿宋" w:hint="eastAsia"/>
          <w:color w:val="555555" w:themeColor="text1"/>
          <w:sz w:val="32"/>
          <w:szCs w:val="32"/>
        </w:rPr>
        <w:t>二、</w:t>
      </w:r>
      <w:r w:rsidRPr="009C283F">
        <w:rPr>
          <w:rStyle w:val="a6"/>
          <w:rFonts w:ascii="仿宋" w:eastAsia="仿宋" w:hAnsi="仿宋"/>
          <w:color w:val="555555" w:themeColor="text1"/>
          <w:sz w:val="32"/>
          <w:szCs w:val="32"/>
        </w:rPr>
        <w:t>镉（以Cd计）</w:t>
      </w:r>
    </w:p>
    <w:p w:rsidR="003A758E" w:rsidRPr="009C283F" w:rsidRDefault="003A758E" w:rsidP="00DB6C0B">
      <w:pPr>
        <w:pStyle w:val="a5"/>
        <w:widowControl/>
        <w:spacing w:beforeAutospacing="0" w:afterLines="50" w:afterAutospacing="0" w:line="700" w:lineRule="exact"/>
        <w:ind w:firstLineChars="200" w:firstLine="640"/>
        <w:rPr>
          <w:rFonts w:ascii="仿宋" w:eastAsia="仿宋" w:hAnsi="仿宋"/>
          <w:color w:val="555555" w:themeColor="text1"/>
          <w:sz w:val="32"/>
          <w:szCs w:val="32"/>
        </w:rPr>
      </w:pPr>
      <w:r w:rsidRPr="009C283F">
        <w:rPr>
          <w:rFonts w:ascii="仿宋" w:eastAsia="仿宋" w:hAnsi="仿宋"/>
          <w:color w:val="555555" w:themeColor="text1"/>
          <w:sz w:val="32"/>
          <w:szCs w:val="32"/>
        </w:rPr>
        <w:t>镉（以Cd计）是一种蓄积性的重金属元素。长期食用镉（以Cd计）超标的食品，可能对肾脏、肝脏和骨骼造成损害，还可能影响免疫系统，甚至可能对儿童高级神经活动有损害。《食品安全国家标准 食品中污染物限量》（GB 2762—2017）中规定，镉（以Cd计）在鲜、冻水产动物（双壳类、腹足类、头足类、棘皮类）中的最大限量值为2.0mg/kg。冰鲜鱿鱼中镉（以Cd计）超标的原因，可能是在生长过程中富集了环境中的镉元素。</w:t>
      </w:r>
    </w:p>
    <w:p w:rsidR="003A758E" w:rsidRPr="009C283F" w:rsidRDefault="003A758E" w:rsidP="003A758E">
      <w:pPr>
        <w:pStyle w:val="a5"/>
        <w:widowControl/>
        <w:spacing w:beforeAutospacing="0" w:afterAutospacing="0"/>
        <w:rPr>
          <w:rFonts w:ascii="仿宋" w:eastAsia="仿宋" w:hAnsi="仿宋"/>
          <w:color w:val="555555" w:themeColor="text1"/>
          <w:spacing w:val="30"/>
          <w:sz w:val="32"/>
          <w:szCs w:val="32"/>
        </w:rPr>
      </w:pPr>
      <w:r w:rsidRPr="009C283F">
        <w:rPr>
          <w:rStyle w:val="a6"/>
          <w:rFonts w:ascii="仿宋" w:eastAsia="仿宋" w:hAnsi="仿宋"/>
          <w:color w:val="555555" w:themeColor="text1"/>
          <w:sz w:val="32"/>
          <w:szCs w:val="32"/>
        </w:rPr>
        <w:t>食品添加剂</w:t>
      </w:r>
    </w:p>
    <w:p w:rsidR="009C283F" w:rsidRPr="009C283F" w:rsidRDefault="009C283F" w:rsidP="009C283F">
      <w:pPr>
        <w:pStyle w:val="NewNewNewNewNewNewNewNewNewNewNewNewNewNewNewNewNewNewNewNewNewNewNewNewNewNewNewNewNewNewNew"/>
        <w:adjustRightInd w:val="0"/>
        <w:snapToGrid w:val="0"/>
        <w:spacing w:line="640" w:lineRule="exact"/>
        <w:ind w:firstLineChars="200" w:firstLine="643"/>
        <w:rPr>
          <w:rFonts w:ascii="仿宋" w:eastAsia="仿宋" w:hAnsi="仿宋" w:cs="楷体"/>
          <w:b/>
          <w:bCs/>
          <w:color w:val="555555" w:themeColor="text1"/>
          <w:kern w:val="0"/>
          <w:sz w:val="32"/>
          <w:szCs w:val="32"/>
        </w:rPr>
      </w:pPr>
      <w:r w:rsidRPr="009C283F">
        <w:rPr>
          <w:rFonts w:ascii="仿宋" w:eastAsia="仿宋" w:hAnsi="仿宋" w:cs="楷体" w:hint="eastAsia"/>
          <w:b/>
          <w:bCs/>
          <w:color w:val="555555" w:themeColor="text1"/>
          <w:kern w:val="0"/>
          <w:sz w:val="32"/>
          <w:szCs w:val="32"/>
        </w:rPr>
        <w:lastRenderedPageBreak/>
        <w:t>山梨酸及其钾盐</w:t>
      </w:r>
    </w:p>
    <w:p w:rsidR="009C283F" w:rsidRPr="009C283F" w:rsidRDefault="009C283F" w:rsidP="009C283F">
      <w:pPr>
        <w:pStyle w:val="a5"/>
        <w:widowControl/>
        <w:spacing w:beforeAutospacing="0" w:afterAutospacing="0" w:line="700" w:lineRule="exact"/>
        <w:ind w:firstLineChars="200" w:firstLine="640"/>
        <w:jc w:val="both"/>
        <w:rPr>
          <w:rFonts w:ascii="仿宋" w:eastAsia="仿宋" w:hAnsi="仿宋" w:cs="仿宋_GB2312"/>
          <w:color w:val="555555" w:themeColor="text1"/>
          <w:sz w:val="32"/>
          <w:szCs w:val="32"/>
        </w:rPr>
      </w:pPr>
      <w:r w:rsidRPr="009C283F">
        <w:rPr>
          <w:rFonts w:ascii="仿宋" w:eastAsia="仿宋" w:hAnsi="仿宋" w:cs="仿宋_GB2312" w:hint="eastAsia"/>
          <w:color w:val="555555" w:themeColor="text1"/>
          <w:sz w:val="32"/>
          <w:szCs w:val="32"/>
        </w:rPr>
        <w:t>山梨酸及其钾盐是常用的食品防腐剂，有防止食品变质发酸、延长保质期的效果。按《食品安全国家标准食品添加剂使用标准》（</w:t>
      </w:r>
      <w:r w:rsidRPr="009C283F">
        <w:rPr>
          <w:rFonts w:ascii="仿宋" w:eastAsia="仿宋" w:hAnsi="仿宋" w:cs="仿宋_GB2312"/>
          <w:color w:val="555555" w:themeColor="text1"/>
          <w:sz w:val="32"/>
          <w:szCs w:val="32"/>
        </w:rPr>
        <w:t>GB 2760-2014</w:t>
      </w:r>
      <w:r w:rsidRPr="009C283F">
        <w:rPr>
          <w:rFonts w:ascii="仿宋" w:eastAsia="仿宋" w:hAnsi="仿宋" w:cs="仿宋_GB2312" w:hint="eastAsia"/>
          <w:color w:val="555555" w:themeColor="text1"/>
          <w:sz w:val="32"/>
          <w:szCs w:val="32"/>
        </w:rPr>
        <w:t>）中规定的限量和范围使用是安全可靠的。造成超标的原因，可能是个别企业为防止食品腐败变质，超限量或超范围使用该添加剂。</w:t>
      </w:r>
    </w:p>
    <w:p w:rsidR="009C283F" w:rsidRPr="009C283F" w:rsidRDefault="009C283F" w:rsidP="00DB6C0B">
      <w:pPr>
        <w:pStyle w:val="a5"/>
        <w:widowControl/>
        <w:spacing w:beforeLines="50" w:beforeAutospacing="0" w:afterAutospacing="0"/>
        <w:rPr>
          <w:rStyle w:val="a6"/>
          <w:rFonts w:ascii="仿宋" w:eastAsia="仿宋" w:hAnsi="仿宋"/>
          <w:sz w:val="32"/>
          <w:szCs w:val="32"/>
        </w:rPr>
      </w:pPr>
      <w:r w:rsidRPr="009C283F">
        <w:rPr>
          <w:rStyle w:val="a6"/>
          <w:rFonts w:ascii="仿宋" w:eastAsia="仿宋" w:hAnsi="仿宋"/>
          <w:sz w:val="32"/>
          <w:szCs w:val="32"/>
        </w:rPr>
        <w:t>农药残留</w:t>
      </w:r>
    </w:p>
    <w:p w:rsidR="009C283F" w:rsidRPr="009C283F" w:rsidRDefault="00DB6C0B" w:rsidP="009C283F">
      <w:pPr>
        <w:pStyle w:val="NewNewNewNewNewNewNewNewNewNewNewNewNewNewNewNewNewNewNewNewNewNewNewNewNewNewNewNewNewNewNew"/>
        <w:adjustRightInd w:val="0"/>
        <w:snapToGrid w:val="0"/>
        <w:spacing w:line="640" w:lineRule="exact"/>
        <w:ind w:firstLineChars="200" w:firstLine="643"/>
        <w:rPr>
          <w:rFonts w:ascii="仿宋" w:eastAsia="仿宋" w:hAnsi="仿宋" w:cs="楷体"/>
          <w:b/>
          <w:bCs/>
          <w:color w:val="555555" w:themeColor="text1"/>
          <w:kern w:val="0"/>
          <w:sz w:val="32"/>
          <w:szCs w:val="32"/>
        </w:rPr>
      </w:pPr>
      <w:r>
        <w:rPr>
          <w:rFonts w:ascii="仿宋" w:eastAsia="仿宋" w:hAnsi="仿宋" w:cs="楷体" w:hint="eastAsia"/>
          <w:b/>
          <w:bCs/>
          <w:color w:val="555555" w:themeColor="text1"/>
          <w:kern w:val="0"/>
          <w:sz w:val="32"/>
          <w:szCs w:val="32"/>
        </w:rPr>
        <w:t>一、</w:t>
      </w:r>
      <w:r w:rsidR="009C283F" w:rsidRPr="009C283F">
        <w:rPr>
          <w:rFonts w:ascii="仿宋" w:eastAsia="仿宋" w:hAnsi="仿宋" w:cs="楷体" w:hint="eastAsia"/>
          <w:b/>
          <w:bCs/>
          <w:color w:val="555555" w:themeColor="text1"/>
          <w:kern w:val="0"/>
          <w:sz w:val="32"/>
          <w:szCs w:val="32"/>
        </w:rPr>
        <w:t>甲基异柳磷</w:t>
      </w:r>
    </w:p>
    <w:p w:rsidR="009C283F" w:rsidRDefault="009C283F" w:rsidP="009C283F">
      <w:pPr>
        <w:pStyle w:val="a5"/>
        <w:widowControl/>
        <w:spacing w:beforeAutospacing="0" w:afterAutospacing="0" w:line="700" w:lineRule="exact"/>
        <w:ind w:firstLineChars="200" w:firstLine="640"/>
        <w:jc w:val="both"/>
        <w:rPr>
          <w:rFonts w:ascii="仿宋" w:eastAsia="仿宋" w:hAnsi="仿宋" w:cs="仿宋_GB2312"/>
          <w:color w:val="555555" w:themeColor="text1"/>
          <w:sz w:val="32"/>
          <w:szCs w:val="32"/>
        </w:rPr>
      </w:pPr>
      <w:r w:rsidRPr="009C283F">
        <w:rPr>
          <w:rFonts w:ascii="仿宋" w:eastAsia="仿宋" w:hAnsi="仿宋" w:cs="仿宋_GB2312" w:hint="eastAsia"/>
          <w:color w:val="555555" w:themeColor="text1"/>
          <w:sz w:val="32"/>
          <w:szCs w:val="32"/>
        </w:rPr>
        <w:t>甲基异柳磷是一种土壤杀虫剂，对害虫具有较强的触杀和胃毒作用。杀虫广谱、残效期长，是防治地下害虫的优良 药剂。《食品安全国家标准食品中农药最大残留限量》（GB 2763-20</w:t>
      </w:r>
      <w:r w:rsidR="00A111C7">
        <w:rPr>
          <w:rFonts w:ascii="仿宋" w:eastAsia="仿宋" w:hAnsi="仿宋" w:cs="仿宋_GB2312" w:hint="eastAsia"/>
          <w:color w:val="555555" w:themeColor="text1"/>
          <w:sz w:val="32"/>
          <w:szCs w:val="32"/>
        </w:rPr>
        <w:t>21</w:t>
      </w:r>
      <w:r w:rsidRPr="009C283F">
        <w:rPr>
          <w:rFonts w:ascii="仿宋" w:eastAsia="仿宋" w:hAnsi="仿宋" w:cs="仿宋_GB2312" w:hint="eastAsia"/>
          <w:color w:val="555555" w:themeColor="text1"/>
          <w:sz w:val="32"/>
          <w:szCs w:val="32"/>
        </w:rPr>
        <w:t>）中规定，甲基异柳磷在豆类蔬菜中的最大残留限量为0.01mg/kg。少量的农药残留不会引起人体急性中暑，但长期食用农药残留超标的食品，对人体健康有一定影响。</w:t>
      </w:r>
    </w:p>
    <w:p w:rsidR="00926EE7" w:rsidRDefault="00DB6C0B" w:rsidP="00926EE7">
      <w:pPr>
        <w:pStyle w:val="NewNewNewNewNewNewNewNewNewNewNewNewNewNewNewNewNewNewNewNewNewNewNewNewNewNewNewNewNewNewNew"/>
        <w:adjustRightInd w:val="0"/>
        <w:snapToGrid w:val="0"/>
        <w:spacing w:line="640" w:lineRule="exact"/>
        <w:ind w:firstLineChars="200" w:firstLine="643"/>
        <w:rPr>
          <w:rFonts w:ascii="仿宋" w:eastAsia="仿宋" w:hAnsi="仿宋" w:cs="楷体"/>
          <w:b/>
          <w:bCs/>
          <w:color w:val="555555" w:themeColor="text1"/>
          <w:kern w:val="0"/>
          <w:sz w:val="32"/>
          <w:szCs w:val="32"/>
        </w:rPr>
      </w:pPr>
      <w:r>
        <w:rPr>
          <w:rFonts w:ascii="仿宋" w:eastAsia="仿宋" w:hAnsi="仿宋" w:cs="楷体" w:hint="eastAsia"/>
          <w:b/>
          <w:bCs/>
          <w:color w:val="555555" w:themeColor="text1"/>
          <w:kern w:val="0"/>
          <w:sz w:val="32"/>
          <w:szCs w:val="32"/>
        </w:rPr>
        <w:t>二、</w:t>
      </w:r>
      <w:r w:rsidR="00926EE7" w:rsidRPr="00926EE7">
        <w:rPr>
          <w:rFonts w:ascii="仿宋" w:eastAsia="仿宋" w:hAnsi="仿宋" w:cs="楷体" w:hint="eastAsia"/>
          <w:b/>
          <w:bCs/>
          <w:color w:val="555555" w:themeColor="text1"/>
          <w:kern w:val="0"/>
          <w:sz w:val="32"/>
          <w:szCs w:val="32"/>
        </w:rPr>
        <w:t>联苯菊酯</w:t>
      </w:r>
    </w:p>
    <w:p w:rsidR="00A111C7" w:rsidRPr="00A111C7" w:rsidRDefault="00A111C7" w:rsidP="00A111C7">
      <w:pPr>
        <w:pStyle w:val="NewNewNewNewNewNew"/>
        <w:adjustRightInd w:val="0"/>
        <w:snapToGrid w:val="0"/>
        <w:spacing w:line="700" w:lineRule="exact"/>
        <w:ind w:firstLine="640"/>
        <w:rPr>
          <w:rFonts w:ascii="仿宋" w:eastAsia="仿宋" w:hAnsi="仿宋" w:cs="仿宋_GB2312"/>
          <w:color w:val="555555" w:themeColor="text1"/>
          <w:kern w:val="0"/>
          <w:sz w:val="32"/>
          <w:szCs w:val="32"/>
        </w:rPr>
      </w:pPr>
      <w:r w:rsidRPr="00A111C7">
        <w:rPr>
          <w:rFonts w:ascii="仿宋" w:eastAsia="仿宋" w:hAnsi="仿宋" w:cs="仿宋_GB2312" w:hint="eastAsia"/>
          <w:color w:val="555555" w:themeColor="text1"/>
          <w:kern w:val="0"/>
          <w:sz w:val="32"/>
          <w:szCs w:val="32"/>
        </w:rPr>
        <w:t>联苯菊酯主要用于防治棉铃虫、棉红蜘蛛、桃小食心虫、梨小食心虫、山楂叶螨、柑桔红蜘蛛、黄斑蝽、茶翅蝽、菜蚜、菜青虫、小菜蛾、茄子红蜘蛛、茶细蛾等20多种害虫。《食品安全国家标准 食品中农药最大残留限量》（GB 2763-20</w:t>
      </w:r>
      <w:r>
        <w:rPr>
          <w:rFonts w:ascii="仿宋" w:eastAsia="仿宋" w:hAnsi="仿宋" w:cs="仿宋_GB2312" w:hint="eastAsia"/>
          <w:color w:val="555555" w:themeColor="text1"/>
          <w:kern w:val="0"/>
          <w:sz w:val="32"/>
          <w:szCs w:val="32"/>
        </w:rPr>
        <w:t>21</w:t>
      </w:r>
      <w:r w:rsidRPr="00A111C7">
        <w:rPr>
          <w:rFonts w:ascii="仿宋" w:eastAsia="仿宋" w:hAnsi="仿宋" w:cs="仿宋_GB2312" w:hint="eastAsia"/>
          <w:color w:val="555555" w:themeColor="text1"/>
          <w:kern w:val="0"/>
          <w:sz w:val="32"/>
          <w:szCs w:val="32"/>
        </w:rPr>
        <w:t>）中规定芸薹属类蔬菜（结球甘蓝除外）中联苯</w:t>
      </w:r>
      <w:r w:rsidRPr="00A111C7">
        <w:rPr>
          <w:rFonts w:ascii="仿宋" w:eastAsia="仿宋" w:hAnsi="仿宋" w:cs="仿宋_GB2312" w:hint="eastAsia"/>
          <w:color w:val="555555" w:themeColor="text1"/>
          <w:kern w:val="0"/>
          <w:sz w:val="32"/>
          <w:szCs w:val="32"/>
        </w:rPr>
        <w:lastRenderedPageBreak/>
        <w:t>菊酯最大残留限量为0.</w:t>
      </w:r>
      <w:r>
        <w:rPr>
          <w:rFonts w:ascii="仿宋" w:eastAsia="仿宋" w:hAnsi="仿宋" w:cs="仿宋_GB2312" w:hint="eastAsia"/>
          <w:color w:val="555555" w:themeColor="text1"/>
          <w:kern w:val="0"/>
          <w:sz w:val="32"/>
          <w:szCs w:val="32"/>
        </w:rPr>
        <w:t>05</w:t>
      </w:r>
      <w:r w:rsidRPr="00A111C7">
        <w:rPr>
          <w:rFonts w:ascii="仿宋" w:eastAsia="仿宋" w:hAnsi="仿宋" w:cs="仿宋_GB2312" w:hint="eastAsia"/>
          <w:color w:val="555555" w:themeColor="text1"/>
          <w:kern w:val="0"/>
          <w:sz w:val="32"/>
          <w:szCs w:val="32"/>
        </w:rPr>
        <w:t>mg/kg。联苯菊酯超标的原因，可能是菜农对使用农药的安全间隔期不了解，从而违规使用或滥用农药。</w:t>
      </w:r>
    </w:p>
    <w:p w:rsidR="00A111C7" w:rsidRPr="00A111C7" w:rsidRDefault="00A111C7" w:rsidP="00A111C7">
      <w:pPr>
        <w:pStyle w:val="NewNewNewNewNewNewNewNewNewNewNewNewNewNewNewNewNewNewNewNewNewNewNewNewNewNewNewNewNewNewNew"/>
        <w:adjustRightInd w:val="0"/>
        <w:snapToGrid w:val="0"/>
        <w:spacing w:line="700" w:lineRule="exact"/>
        <w:ind w:firstLineChars="200" w:firstLine="640"/>
        <w:rPr>
          <w:rFonts w:ascii="仿宋" w:eastAsia="仿宋" w:hAnsi="仿宋" w:cs="仿宋_GB2312"/>
          <w:color w:val="555555" w:themeColor="text1"/>
          <w:kern w:val="0"/>
          <w:sz w:val="32"/>
          <w:szCs w:val="32"/>
        </w:rPr>
      </w:pPr>
    </w:p>
    <w:p w:rsidR="009C283F" w:rsidRPr="00777A96" w:rsidRDefault="009C283F" w:rsidP="00DB6C0B">
      <w:pPr>
        <w:pStyle w:val="a5"/>
        <w:widowControl/>
        <w:spacing w:beforeLines="50" w:beforeAutospacing="0" w:afterAutospacing="0" w:line="700" w:lineRule="exact"/>
        <w:jc w:val="both"/>
        <w:rPr>
          <w:rFonts w:ascii="仿宋" w:eastAsia="仿宋" w:hAnsi="仿宋"/>
          <w:color w:val="555555" w:themeColor="text1"/>
          <w:sz w:val="32"/>
          <w:szCs w:val="32"/>
        </w:rPr>
      </w:pPr>
    </w:p>
    <w:p w:rsidR="00DA294E" w:rsidRPr="009C283F" w:rsidRDefault="00DA294E" w:rsidP="00A111C7">
      <w:pPr>
        <w:spacing w:line="700" w:lineRule="exact"/>
        <w:ind w:firstLineChars="200" w:firstLine="640"/>
        <w:rPr>
          <w:rFonts w:ascii="仿宋" w:eastAsia="仿宋" w:hAnsi="仿宋" w:cs="仿宋_GB2312"/>
          <w:kern w:val="0"/>
          <w:sz w:val="32"/>
          <w:szCs w:val="32"/>
        </w:rPr>
      </w:pPr>
    </w:p>
    <w:p w:rsidR="003A758E" w:rsidRPr="003A758E" w:rsidRDefault="003A758E" w:rsidP="00DB6C0B">
      <w:pPr>
        <w:pStyle w:val="a5"/>
        <w:widowControl/>
        <w:spacing w:beforeAutospacing="0" w:afterLines="50" w:afterAutospacing="0" w:line="700" w:lineRule="exact"/>
        <w:ind w:firstLineChars="200" w:firstLine="640"/>
        <w:rPr>
          <w:rFonts w:ascii="仿宋" w:eastAsia="仿宋" w:hAnsi="仿宋"/>
          <w:color w:val="1D1B11" w:themeColor="background2" w:themeShade="1A"/>
          <w:sz w:val="32"/>
          <w:szCs w:val="32"/>
        </w:rPr>
      </w:pPr>
    </w:p>
    <w:p w:rsidR="00DC3EA8" w:rsidRPr="003A758E" w:rsidRDefault="00DC3EA8" w:rsidP="00A111C7">
      <w:pPr>
        <w:pStyle w:val="a5"/>
        <w:widowControl/>
        <w:spacing w:beforeAutospacing="0" w:afterAutospacing="0" w:line="700" w:lineRule="exact"/>
        <w:ind w:firstLineChars="200" w:firstLine="640"/>
        <w:jc w:val="both"/>
        <w:rPr>
          <w:rFonts w:ascii="仿宋" w:eastAsia="仿宋" w:hAnsi="仿宋"/>
          <w:color w:val="1D1B11" w:themeColor="background2" w:themeShade="1A"/>
          <w:sz w:val="32"/>
          <w:szCs w:val="32"/>
        </w:rPr>
      </w:pPr>
    </w:p>
    <w:sectPr w:rsidR="00DC3EA8" w:rsidRPr="003A758E" w:rsidSect="000D59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C52" w:rsidRDefault="00C06C52" w:rsidP="00413F75">
      <w:r>
        <w:separator/>
      </w:r>
    </w:p>
  </w:endnote>
  <w:endnote w:type="continuationSeparator" w:id="1">
    <w:p w:rsidR="00C06C52" w:rsidRDefault="00C06C52" w:rsidP="00413F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仿宋"/>
    <w:panose1 w:val="00000000000000000000"/>
    <w:charset w:val="86"/>
    <w:family w:val="swiss"/>
    <w:notTrueType/>
    <w:pitch w:val="default"/>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C52" w:rsidRDefault="00C06C52" w:rsidP="00413F75">
      <w:r>
        <w:separator/>
      </w:r>
    </w:p>
  </w:footnote>
  <w:footnote w:type="continuationSeparator" w:id="1">
    <w:p w:rsidR="00C06C52" w:rsidRDefault="00C06C52" w:rsidP="00413F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63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3F75"/>
    <w:rsid w:val="000302E6"/>
    <w:rsid w:val="000814B3"/>
    <w:rsid w:val="00085EFC"/>
    <w:rsid w:val="000965BE"/>
    <w:rsid w:val="000D59B0"/>
    <w:rsid w:val="000E112E"/>
    <w:rsid w:val="00122F8A"/>
    <w:rsid w:val="0015641D"/>
    <w:rsid w:val="001601B8"/>
    <w:rsid w:val="00176D63"/>
    <w:rsid w:val="0018633E"/>
    <w:rsid w:val="002C408B"/>
    <w:rsid w:val="002F1F69"/>
    <w:rsid w:val="002F4C1D"/>
    <w:rsid w:val="00342D60"/>
    <w:rsid w:val="003A758E"/>
    <w:rsid w:val="00413F75"/>
    <w:rsid w:val="00435405"/>
    <w:rsid w:val="004827A7"/>
    <w:rsid w:val="00492540"/>
    <w:rsid w:val="004A2B57"/>
    <w:rsid w:val="004C19DF"/>
    <w:rsid w:val="0053237F"/>
    <w:rsid w:val="005354BB"/>
    <w:rsid w:val="00550C9A"/>
    <w:rsid w:val="005924F0"/>
    <w:rsid w:val="005C5A18"/>
    <w:rsid w:val="005D47E8"/>
    <w:rsid w:val="005F3591"/>
    <w:rsid w:val="00605CA5"/>
    <w:rsid w:val="0060766E"/>
    <w:rsid w:val="00607D81"/>
    <w:rsid w:val="006215BB"/>
    <w:rsid w:val="0063749C"/>
    <w:rsid w:val="00663143"/>
    <w:rsid w:val="00682863"/>
    <w:rsid w:val="006855F4"/>
    <w:rsid w:val="00690B10"/>
    <w:rsid w:val="00691F7F"/>
    <w:rsid w:val="006C5243"/>
    <w:rsid w:val="006C746E"/>
    <w:rsid w:val="006D217D"/>
    <w:rsid w:val="00723FF0"/>
    <w:rsid w:val="00726480"/>
    <w:rsid w:val="00727469"/>
    <w:rsid w:val="007653E5"/>
    <w:rsid w:val="00766CF8"/>
    <w:rsid w:val="00777A96"/>
    <w:rsid w:val="007B480A"/>
    <w:rsid w:val="007C3D8E"/>
    <w:rsid w:val="007E03D2"/>
    <w:rsid w:val="00814245"/>
    <w:rsid w:val="0084555D"/>
    <w:rsid w:val="008609EB"/>
    <w:rsid w:val="008B6012"/>
    <w:rsid w:val="00926EE7"/>
    <w:rsid w:val="00932ACB"/>
    <w:rsid w:val="00937E10"/>
    <w:rsid w:val="00972E1C"/>
    <w:rsid w:val="00990B28"/>
    <w:rsid w:val="009C283F"/>
    <w:rsid w:val="009D6B66"/>
    <w:rsid w:val="00A111C7"/>
    <w:rsid w:val="00A62F7F"/>
    <w:rsid w:val="00AA033B"/>
    <w:rsid w:val="00AA05B2"/>
    <w:rsid w:val="00AC2C2B"/>
    <w:rsid w:val="00AC3B48"/>
    <w:rsid w:val="00B27F98"/>
    <w:rsid w:val="00B830B0"/>
    <w:rsid w:val="00BD3C62"/>
    <w:rsid w:val="00C06C52"/>
    <w:rsid w:val="00C67EB8"/>
    <w:rsid w:val="00C87B80"/>
    <w:rsid w:val="00C96416"/>
    <w:rsid w:val="00CA03D6"/>
    <w:rsid w:val="00CB004F"/>
    <w:rsid w:val="00CB35B1"/>
    <w:rsid w:val="00D73830"/>
    <w:rsid w:val="00D77193"/>
    <w:rsid w:val="00D9010C"/>
    <w:rsid w:val="00DA294E"/>
    <w:rsid w:val="00DB6C0B"/>
    <w:rsid w:val="00DC3EA8"/>
    <w:rsid w:val="00E33986"/>
    <w:rsid w:val="00E67B80"/>
    <w:rsid w:val="00E84519"/>
    <w:rsid w:val="00F265F2"/>
    <w:rsid w:val="00F33741"/>
    <w:rsid w:val="00F50892"/>
    <w:rsid w:val="00F51824"/>
    <w:rsid w:val="00F62C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9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13F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13F75"/>
    <w:rPr>
      <w:sz w:val="18"/>
      <w:szCs w:val="18"/>
    </w:rPr>
  </w:style>
  <w:style w:type="paragraph" w:styleId="a4">
    <w:name w:val="footer"/>
    <w:basedOn w:val="a"/>
    <w:link w:val="Char0"/>
    <w:uiPriority w:val="99"/>
    <w:semiHidden/>
    <w:unhideWhenUsed/>
    <w:rsid w:val="00413F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13F75"/>
    <w:rPr>
      <w:sz w:val="18"/>
      <w:szCs w:val="18"/>
    </w:rPr>
  </w:style>
  <w:style w:type="paragraph" w:customStyle="1" w:styleId="Default">
    <w:name w:val="Default"/>
    <w:rsid w:val="00413F75"/>
    <w:pPr>
      <w:widowControl w:val="0"/>
      <w:autoSpaceDE w:val="0"/>
      <w:autoSpaceDN w:val="0"/>
      <w:adjustRightInd w:val="0"/>
    </w:pPr>
    <w:rPr>
      <w:rFonts w:ascii="FangSong" w:eastAsia="FangSong" w:cs="FangSong"/>
      <w:color w:val="000000"/>
      <w:kern w:val="0"/>
      <w:sz w:val="24"/>
      <w:szCs w:val="24"/>
    </w:rPr>
  </w:style>
  <w:style w:type="paragraph" w:styleId="a5">
    <w:name w:val="Normal (Web)"/>
    <w:basedOn w:val="a"/>
    <w:rsid w:val="00413F75"/>
    <w:pPr>
      <w:spacing w:beforeAutospacing="1" w:afterAutospacing="1"/>
      <w:jc w:val="left"/>
    </w:pPr>
    <w:rPr>
      <w:rFonts w:cs="Times New Roman"/>
      <w:kern w:val="0"/>
      <w:sz w:val="24"/>
      <w:szCs w:val="24"/>
    </w:rPr>
  </w:style>
  <w:style w:type="character" w:styleId="a6">
    <w:name w:val="Strong"/>
    <w:basedOn w:val="a0"/>
    <w:qFormat/>
    <w:rsid w:val="00413F75"/>
    <w:rPr>
      <w:b/>
    </w:rPr>
  </w:style>
  <w:style w:type="character" w:customStyle="1" w:styleId="bjh-p">
    <w:name w:val="bjh-p"/>
    <w:basedOn w:val="a0"/>
    <w:rsid w:val="00777A96"/>
  </w:style>
  <w:style w:type="character" w:customStyle="1" w:styleId="bjh-strong">
    <w:name w:val="bjh-strong"/>
    <w:basedOn w:val="a0"/>
    <w:rsid w:val="00777A96"/>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085EFC"/>
    <w:pPr>
      <w:widowControl w:val="0"/>
      <w:jc w:val="both"/>
    </w:pPr>
    <w:rPr>
      <w:rFonts w:ascii="Calibri" w:eastAsia="宋体" w:hAnsi="Calibri" w:cs="黑体"/>
    </w:rPr>
  </w:style>
  <w:style w:type="paragraph" w:customStyle="1" w:styleId="NewNewNewNewNewNew">
    <w:name w:val="正文 New New New New New New"/>
    <w:qFormat/>
    <w:rsid w:val="00B27F98"/>
    <w:pPr>
      <w:widowControl w:val="0"/>
      <w:jc w:val="both"/>
    </w:pPr>
    <w:rPr>
      <w:rFonts w:ascii="Calibri" w:eastAsia="宋体" w:hAnsi="Calibri" w:cs="黑体"/>
    </w:rPr>
  </w:style>
  <w:style w:type="paragraph" w:customStyle="1" w:styleId="NewNewNewNewNewNewNewNewNewNewNewNew">
    <w:name w:val="正文 New New New New New New New New New New New New"/>
    <w:rsid w:val="00B27F98"/>
    <w:pPr>
      <w:widowControl w:val="0"/>
      <w:jc w:val="both"/>
    </w:pPr>
    <w:rPr>
      <w:rFonts w:ascii="Calibri" w:eastAsia="宋体" w:hAnsi="Calibri" w:cs="黑体"/>
      <w:szCs w:val="24"/>
    </w:rPr>
  </w:style>
  <w:style w:type="paragraph" w:styleId="a7">
    <w:name w:val="Body Text Indent"/>
    <w:basedOn w:val="a"/>
    <w:link w:val="Char1"/>
    <w:uiPriority w:val="99"/>
    <w:semiHidden/>
    <w:unhideWhenUsed/>
    <w:rsid w:val="00DC3EA8"/>
    <w:pPr>
      <w:spacing w:after="120"/>
      <w:ind w:leftChars="200" w:left="420"/>
    </w:pPr>
  </w:style>
  <w:style w:type="character" w:customStyle="1" w:styleId="Char1">
    <w:name w:val="正文文本缩进 Char"/>
    <w:basedOn w:val="a0"/>
    <w:link w:val="a7"/>
    <w:uiPriority w:val="99"/>
    <w:semiHidden/>
    <w:rsid w:val="00DC3EA8"/>
  </w:style>
  <w:style w:type="paragraph" w:styleId="2">
    <w:name w:val="Body Text First Indent 2"/>
    <w:basedOn w:val="a7"/>
    <w:next w:val="a"/>
    <w:link w:val="2Char"/>
    <w:rsid w:val="00DC3EA8"/>
    <w:pPr>
      <w:ind w:firstLineChars="200" w:firstLine="420"/>
    </w:pPr>
    <w:rPr>
      <w:rFonts w:ascii="Times New Roman" w:eastAsia="宋体" w:hAnsi="Calibri" w:cs="黑体"/>
      <w:kern w:val="0"/>
      <w:szCs w:val="20"/>
    </w:rPr>
  </w:style>
  <w:style w:type="character" w:customStyle="1" w:styleId="2Char">
    <w:name w:val="正文首行缩进 2 Char"/>
    <w:basedOn w:val="Char1"/>
    <w:link w:val="2"/>
    <w:rsid w:val="00DC3EA8"/>
    <w:rPr>
      <w:rFonts w:ascii="Times New Roman" w:eastAsia="宋体" w:hAnsi="Calibri" w:cs="黑体"/>
      <w:kern w:val="0"/>
      <w:szCs w:val="20"/>
    </w:rPr>
  </w:style>
</w:styles>
</file>

<file path=word/webSettings.xml><?xml version="1.0" encoding="utf-8"?>
<w:webSettings xmlns:r="http://schemas.openxmlformats.org/officeDocument/2006/relationships" xmlns:w="http://schemas.openxmlformats.org/wordprocessingml/2006/main">
  <w:divs>
    <w:div w:id="744378069">
      <w:bodyDiv w:val="1"/>
      <w:marLeft w:val="0"/>
      <w:marRight w:val="0"/>
      <w:marTop w:val="0"/>
      <w:marBottom w:val="0"/>
      <w:divBdr>
        <w:top w:val="none" w:sz="0" w:space="0" w:color="auto"/>
        <w:left w:val="none" w:sz="0" w:space="0" w:color="auto"/>
        <w:bottom w:val="none" w:sz="0" w:space="0" w:color="auto"/>
        <w:right w:val="none" w:sz="0" w:space="0" w:color="auto"/>
      </w:divBdr>
    </w:div>
    <w:div w:id="14880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555555"/>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3</Pages>
  <Words>142</Words>
  <Characters>811</Characters>
  <Application>Microsoft Office Word</Application>
  <DocSecurity>0</DocSecurity>
  <Lines>6</Lines>
  <Paragraphs>1</Paragraphs>
  <ScaleCrop>false</ScaleCrop>
  <Company>Sky123.Org</Company>
  <LinksUpToDate>false</LinksUpToDate>
  <CharactersWithSpaces>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林寰</dc:creator>
  <cp:lastModifiedBy>刘芳香</cp:lastModifiedBy>
  <cp:revision>28</cp:revision>
  <cp:lastPrinted>2021-09-27T03:15:00Z</cp:lastPrinted>
  <dcterms:created xsi:type="dcterms:W3CDTF">2021-11-05T08:30:00Z</dcterms:created>
  <dcterms:modified xsi:type="dcterms:W3CDTF">2023-06-14T09:15:00Z</dcterms:modified>
</cp:coreProperties>
</file>